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16" w:type="dxa"/>
        <w:tblLayout w:type="fixed"/>
        <w:tblLook w:val="04A0" w:firstRow="1" w:lastRow="0" w:firstColumn="1" w:lastColumn="0" w:noHBand="0" w:noVBand="1"/>
      </w:tblPr>
      <w:tblGrid>
        <w:gridCol w:w="1098"/>
        <w:gridCol w:w="5760"/>
        <w:gridCol w:w="4320"/>
        <w:gridCol w:w="3438"/>
      </w:tblGrid>
      <w:tr w:rsidR="004473A8" w:rsidRPr="00024E92" w:rsidTr="00937D57">
        <w:trPr>
          <w:trHeight w:val="512"/>
        </w:trPr>
        <w:tc>
          <w:tcPr>
            <w:tcW w:w="1098" w:type="dxa"/>
            <w:shd w:val="clear" w:color="auto" w:fill="808080" w:themeFill="background1" w:themeFillShade="80"/>
          </w:tcPr>
          <w:p w:rsidR="004473A8" w:rsidRPr="00024E92" w:rsidRDefault="004473A8" w:rsidP="00DB587B">
            <w:pPr>
              <w:jc w:val="center"/>
              <w:rPr>
                <w:b/>
                <w:sz w:val="24"/>
                <w:szCs w:val="24"/>
              </w:rPr>
            </w:pPr>
            <w:r w:rsidRPr="003F3E6D">
              <w:rPr>
                <w:b/>
                <w:color w:val="FFFFFF" w:themeColor="background1"/>
                <w:sz w:val="24"/>
                <w:szCs w:val="24"/>
              </w:rPr>
              <w:t>Capacity Area</w:t>
            </w:r>
          </w:p>
        </w:tc>
        <w:tc>
          <w:tcPr>
            <w:tcW w:w="5760" w:type="dxa"/>
            <w:shd w:val="clear" w:color="auto" w:fill="808080" w:themeFill="background1" w:themeFillShade="80"/>
          </w:tcPr>
          <w:p w:rsidR="004473A8" w:rsidRPr="00DB587B" w:rsidRDefault="004473A8" w:rsidP="00DB587B">
            <w:pPr>
              <w:jc w:val="center"/>
              <w:rPr>
                <w:rFonts w:cstheme="minorHAnsi"/>
                <w:b/>
                <w:bCs/>
                <w:color w:val="FFFFFF" w:themeColor="background1"/>
              </w:rPr>
            </w:pPr>
            <w:r w:rsidRPr="00DB587B">
              <w:rPr>
                <w:rFonts w:cstheme="minorHAnsi"/>
                <w:b/>
                <w:bCs/>
                <w:color w:val="FFFFFF" w:themeColor="background1"/>
              </w:rPr>
              <w:t>Criteria</w:t>
            </w:r>
          </w:p>
        </w:tc>
        <w:tc>
          <w:tcPr>
            <w:tcW w:w="4320" w:type="dxa"/>
            <w:shd w:val="clear" w:color="auto" w:fill="808080" w:themeFill="background1" w:themeFillShade="80"/>
          </w:tcPr>
          <w:p w:rsidR="004473A8" w:rsidRPr="00DB587B" w:rsidRDefault="004473A8" w:rsidP="004473A8">
            <w:pPr>
              <w:jc w:val="center"/>
              <w:rPr>
                <w:rFonts w:cstheme="minorHAnsi"/>
                <w:b/>
                <w:bCs/>
                <w:color w:val="FFFFFF" w:themeColor="background1"/>
              </w:rPr>
            </w:pPr>
            <w:r>
              <w:rPr>
                <w:rFonts w:cstheme="minorHAnsi"/>
                <w:b/>
                <w:bCs/>
                <w:color w:val="FFFFFF" w:themeColor="background1"/>
              </w:rPr>
              <w:t xml:space="preserve">How is this currently </w:t>
            </w:r>
            <w:r w:rsidR="00187F68">
              <w:rPr>
                <w:rFonts w:cstheme="minorHAnsi"/>
                <w:b/>
                <w:bCs/>
                <w:color w:val="FFFFFF" w:themeColor="background1"/>
              </w:rPr>
              <w:t>working?</w:t>
            </w:r>
            <w:r>
              <w:rPr>
                <w:rFonts w:cstheme="minorHAnsi"/>
                <w:b/>
                <w:bCs/>
                <w:color w:val="FFFFFF" w:themeColor="background1"/>
              </w:rPr>
              <w:t xml:space="preserve"> </w:t>
            </w:r>
          </w:p>
          <w:p w:rsidR="004473A8" w:rsidRPr="00DB587B" w:rsidRDefault="004473A8" w:rsidP="00DB587B">
            <w:pPr>
              <w:jc w:val="center"/>
              <w:rPr>
                <w:rFonts w:cstheme="minorHAnsi"/>
                <w:b/>
                <w:bCs/>
                <w:color w:val="FFFFFF" w:themeColor="background1"/>
              </w:rPr>
            </w:pPr>
          </w:p>
        </w:tc>
        <w:tc>
          <w:tcPr>
            <w:tcW w:w="3438" w:type="dxa"/>
            <w:shd w:val="clear" w:color="auto" w:fill="808080" w:themeFill="background1" w:themeFillShade="80"/>
          </w:tcPr>
          <w:p w:rsidR="004473A8" w:rsidRDefault="00187F68" w:rsidP="004473A8">
            <w:pPr>
              <w:jc w:val="center"/>
              <w:rPr>
                <w:rFonts w:cstheme="minorHAnsi"/>
                <w:b/>
                <w:bCs/>
                <w:color w:val="FFFFFF" w:themeColor="background1"/>
              </w:rPr>
            </w:pPr>
            <w:r>
              <w:rPr>
                <w:rFonts w:cstheme="minorHAnsi"/>
                <w:b/>
                <w:bCs/>
                <w:color w:val="FFFFFF" w:themeColor="background1"/>
              </w:rPr>
              <w:t>What revisions are needed for</w:t>
            </w:r>
            <w:r w:rsidR="004473A8">
              <w:rPr>
                <w:rFonts w:cstheme="minorHAnsi"/>
                <w:b/>
                <w:bCs/>
                <w:color w:val="FFFFFF" w:themeColor="background1"/>
              </w:rPr>
              <w:t xml:space="preserve"> Spring 2014?</w:t>
            </w:r>
          </w:p>
        </w:tc>
      </w:tr>
      <w:tr w:rsidR="004473A8" w:rsidRPr="00024E92" w:rsidTr="00937D57">
        <w:trPr>
          <w:trHeight w:val="757"/>
        </w:trPr>
        <w:tc>
          <w:tcPr>
            <w:tcW w:w="1098" w:type="dxa"/>
            <w:vMerge w:val="restart"/>
            <w:shd w:val="clear" w:color="auto" w:fill="FBD4B4" w:themeFill="accent6" w:themeFillTint="66"/>
            <w:textDirection w:val="btLr"/>
          </w:tcPr>
          <w:p w:rsidR="004473A8" w:rsidRPr="00925900" w:rsidRDefault="004473A8" w:rsidP="00DB587B">
            <w:pPr>
              <w:ind w:left="113" w:right="113"/>
              <w:jc w:val="center"/>
              <w:rPr>
                <w:b/>
                <w:sz w:val="28"/>
                <w:szCs w:val="28"/>
              </w:rPr>
            </w:pPr>
            <w:r w:rsidRPr="00925900">
              <w:rPr>
                <w:b/>
                <w:sz w:val="28"/>
                <w:szCs w:val="28"/>
              </w:rPr>
              <w:t>District/School Leadership Capacity &amp; Supports</w:t>
            </w:r>
          </w:p>
          <w:p w:rsidR="004473A8" w:rsidRPr="00925900" w:rsidRDefault="004473A8" w:rsidP="00DB587B">
            <w:pPr>
              <w:ind w:left="113" w:right="113"/>
              <w:rPr>
                <w:b/>
                <w:sz w:val="28"/>
                <w:szCs w:val="28"/>
              </w:rPr>
            </w:pPr>
          </w:p>
          <w:p w:rsidR="004473A8" w:rsidRPr="00024E92" w:rsidRDefault="004473A8" w:rsidP="00DB587B">
            <w:pPr>
              <w:ind w:left="113" w:right="113"/>
              <w:rPr>
                <w:b/>
              </w:rPr>
            </w:pPr>
          </w:p>
          <w:p w:rsidR="004473A8" w:rsidRPr="00024E92" w:rsidRDefault="004473A8" w:rsidP="00DB587B">
            <w:pPr>
              <w:ind w:left="113" w:right="113"/>
            </w:pPr>
          </w:p>
        </w:tc>
        <w:tc>
          <w:tcPr>
            <w:tcW w:w="5760" w:type="dxa"/>
          </w:tcPr>
          <w:p w:rsidR="004473A8" w:rsidRPr="005D4D6C" w:rsidRDefault="004473A8" w:rsidP="00337D12">
            <w:pPr>
              <w:rPr>
                <w:rFonts w:cstheme="minorHAnsi"/>
                <w:bCs/>
                <w:sz w:val="20"/>
                <w:szCs w:val="20"/>
              </w:rPr>
            </w:pPr>
            <w:r w:rsidRPr="005D4D6C">
              <w:rPr>
                <w:rFonts w:cstheme="minorHAnsi"/>
                <w:bCs/>
                <w:sz w:val="20"/>
                <w:szCs w:val="20"/>
              </w:rPr>
              <w:t>A district leadership team meets and plans together regularly to support the work of the Integration strategy.</w:t>
            </w:r>
          </w:p>
          <w:p w:rsidR="004473A8" w:rsidRPr="005D4D6C" w:rsidRDefault="004473A8" w:rsidP="00DB587B">
            <w:pPr>
              <w:rPr>
                <w:sz w:val="20"/>
                <w:szCs w:val="20"/>
              </w:rPr>
            </w:pPr>
          </w:p>
        </w:tc>
        <w:tc>
          <w:tcPr>
            <w:tcW w:w="4320" w:type="dxa"/>
          </w:tcPr>
          <w:p w:rsidR="004473A8" w:rsidRDefault="004473A8" w:rsidP="00DB587B">
            <w:pPr>
              <w:jc w:val="center"/>
              <w:rPr>
                <w:rFonts w:cstheme="minorHAnsi"/>
                <w:bCs/>
              </w:rPr>
            </w:pPr>
          </w:p>
        </w:tc>
        <w:tc>
          <w:tcPr>
            <w:tcW w:w="3438" w:type="dxa"/>
          </w:tcPr>
          <w:p w:rsidR="004473A8" w:rsidRDefault="004473A8" w:rsidP="00DB587B">
            <w:pPr>
              <w:jc w:val="center"/>
              <w:rPr>
                <w:rFonts w:cstheme="minorHAnsi"/>
                <w:bCs/>
              </w:rPr>
            </w:pPr>
          </w:p>
        </w:tc>
      </w:tr>
      <w:tr w:rsidR="004473A8" w:rsidRPr="00024E92" w:rsidTr="00937D57">
        <w:trPr>
          <w:trHeight w:val="757"/>
        </w:trPr>
        <w:tc>
          <w:tcPr>
            <w:tcW w:w="1098" w:type="dxa"/>
            <w:vMerge/>
            <w:shd w:val="clear" w:color="auto" w:fill="FBD4B4" w:themeFill="accent6" w:themeFillTint="66"/>
          </w:tcPr>
          <w:p w:rsidR="004473A8" w:rsidRPr="00024E92" w:rsidRDefault="004473A8">
            <w:pPr>
              <w:rPr>
                <w:b/>
                <w:sz w:val="24"/>
                <w:szCs w:val="24"/>
              </w:rPr>
            </w:pPr>
          </w:p>
        </w:tc>
        <w:tc>
          <w:tcPr>
            <w:tcW w:w="5760" w:type="dxa"/>
          </w:tcPr>
          <w:p w:rsidR="004473A8" w:rsidRPr="005D4D6C" w:rsidRDefault="004473A8" w:rsidP="00337D12">
            <w:pPr>
              <w:rPr>
                <w:rFonts w:cstheme="minorHAnsi"/>
                <w:bCs/>
                <w:sz w:val="20"/>
                <w:szCs w:val="20"/>
              </w:rPr>
            </w:pPr>
            <w:r w:rsidRPr="005D4D6C">
              <w:rPr>
                <w:rFonts w:cstheme="minorHAnsi"/>
                <w:bCs/>
                <w:sz w:val="20"/>
                <w:szCs w:val="20"/>
              </w:rPr>
              <w:t>The district implements a process for monitoring continuous improvement (e.g., effective use of data to support the integrated strategy and program improvement; TELL KY; CDIP/CSIP).</w:t>
            </w:r>
          </w:p>
          <w:p w:rsidR="004473A8" w:rsidRPr="005D4D6C" w:rsidRDefault="004473A8" w:rsidP="00DB587B">
            <w:pPr>
              <w:rPr>
                <w:rFonts w:cstheme="minorHAnsi"/>
                <w:bCs/>
                <w:sz w:val="20"/>
                <w:szCs w:val="20"/>
              </w:rPr>
            </w:pPr>
          </w:p>
        </w:tc>
        <w:tc>
          <w:tcPr>
            <w:tcW w:w="4320" w:type="dxa"/>
          </w:tcPr>
          <w:p w:rsidR="004473A8" w:rsidRDefault="004473A8" w:rsidP="00DB587B">
            <w:pPr>
              <w:jc w:val="center"/>
              <w:rPr>
                <w:rFonts w:cstheme="minorHAnsi"/>
                <w:bCs/>
              </w:rPr>
            </w:pPr>
          </w:p>
        </w:tc>
        <w:tc>
          <w:tcPr>
            <w:tcW w:w="3438" w:type="dxa"/>
          </w:tcPr>
          <w:p w:rsidR="004473A8" w:rsidRDefault="004473A8" w:rsidP="00DB587B">
            <w:pPr>
              <w:jc w:val="center"/>
              <w:rPr>
                <w:rFonts w:cstheme="minorHAnsi"/>
                <w:bCs/>
              </w:rPr>
            </w:pPr>
          </w:p>
        </w:tc>
      </w:tr>
      <w:tr w:rsidR="004473A8" w:rsidRPr="00024E92" w:rsidTr="00937D57">
        <w:trPr>
          <w:trHeight w:val="980"/>
        </w:trPr>
        <w:tc>
          <w:tcPr>
            <w:tcW w:w="1098" w:type="dxa"/>
            <w:vMerge/>
            <w:shd w:val="clear" w:color="auto" w:fill="FBD4B4" w:themeFill="accent6" w:themeFillTint="66"/>
          </w:tcPr>
          <w:p w:rsidR="004473A8" w:rsidRPr="00024E92" w:rsidRDefault="004473A8">
            <w:pPr>
              <w:rPr>
                <w:b/>
              </w:rPr>
            </w:pPr>
          </w:p>
        </w:tc>
        <w:tc>
          <w:tcPr>
            <w:tcW w:w="5760" w:type="dxa"/>
          </w:tcPr>
          <w:p w:rsidR="004473A8" w:rsidRPr="005D4D6C" w:rsidRDefault="004473A8" w:rsidP="00337D12">
            <w:pPr>
              <w:rPr>
                <w:rFonts w:cstheme="minorHAnsi"/>
                <w:bCs/>
                <w:sz w:val="20"/>
                <w:szCs w:val="20"/>
              </w:rPr>
            </w:pPr>
            <w:r w:rsidRPr="005D4D6C">
              <w:rPr>
                <w:rFonts w:cstheme="minorHAnsi"/>
                <w:bCs/>
                <w:sz w:val="20"/>
                <w:szCs w:val="20"/>
              </w:rPr>
              <w:t>A project manager serves as a liaison with the Kentucky Department of Education and other Integration districts and provides oversight for implementation of the grant objectives and outcomes for student learning.</w:t>
            </w:r>
          </w:p>
          <w:p w:rsidR="004473A8" w:rsidRPr="005D4D6C" w:rsidRDefault="004473A8" w:rsidP="00DB587B">
            <w:pPr>
              <w:rPr>
                <w:rFonts w:cstheme="minorHAnsi"/>
                <w:bCs/>
                <w:sz w:val="20"/>
                <w:szCs w:val="20"/>
              </w:rPr>
            </w:pPr>
          </w:p>
        </w:tc>
        <w:tc>
          <w:tcPr>
            <w:tcW w:w="4320" w:type="dxa"/>
          </w:tcPr>
          <w:p w:rsidR="004473A8" w:rsidRPr="00024E92" w:rsidRDefault="004473A8" w:rsidP="00DB587B">
            <w:pPr>
              <w:jc w:val="center"/>
              <w:rPr>
                <w:rFonts w:cstheme="minorHAnsi"/>
                <w:bCs/>
              </w:rPr>
            </w:pPr>
          </w:p>
        </w:tc>
        <w:tc>
          <w:tcPr>
            <w:tcW w:w="3438" w:type="dxa"/>
          </w:tcPr>
          <w:p w:rsidR="004473A8" w:rsidRPr="00024E92" w:rsidRDefault="004473A8" w:rsidP="00DB587B">
            <w:pPr>
              <w:jc w:val="center"/>
              <w:rPr>
                <w:rFonts w:cstheme="minorHAnsi"/>
                <w:bCs/>
              </w:rPr>
            </w:pPr>
          </w:p>
        </w:tc>
      </w:tr>
      <w:tr w:rsidR="004473A8" w:rsidRPr="00024E92" w:rsidTr="00937D57">
        <w:trPr>
          <w:trHeight w:val="757"/>
        </w:trPr>
        <w:tc>
          <w:tcPr>
            <w:tcW w:w="1098" w:type="dxa"/>
            <w:vMerge/>
            <w:shd w:val="clear" w:color="auto" w:fill="FBD4B4" w:themeFill="accent6" w:themeFillTint="66"/>
          </w:tcPr>
          <w:p w:rsidR="004473A8" w:rsidRPr="00024E92" w:rsidRDefault="004473A8">
            <w:pPr>
              <w:rPr>
                <w:b/>
              </w:rPr>
            </w:pPr>
          </w:p>
        </w:tc>
        <w:tc>
          <w:tcPr>
            <w:tcW w:w="5760" w:type="dxa"/>
          </w:tcPr>
          <w:p w:rsidR="004473A8" w:rsidRPr="005D4D6C" w:rsidRDefault="004473A8" w:rsidP="00DB587B">
            <w:pPr>
              <w:rPr>
                <w:rFonts w:cstheme="minorHAnsi"/>
                <w:bCs/>
                <w:sz w:val="20"/>
                <w:szCs w:val="20"/>
              </w:rPr>
            </w:pPr>
            <w:r w:rsidRPr="005D4D6C">
              <w:rPr>
                <w:rFonts w:cstheme="minorHAnsi"/>
                <w:bCs/>
                <w:sz w:val="20"/>
                <w:szCs w:val="20"/>
              </w:rPr>
              <w:t>Professional learning is prioritized to focus on the Kentucky Core Academic Standards (KCAS), including LDC/MDC frameworks, and educator effectiveness.</w:t>
            </w:r>
          </w:p>
          <w:p w:rsidR="004473A8" w:rsidRPr="005D4D6C" w:rsidRDefault="004473A8" w:rsidP="00337D12">
            <w:pPr>
              <w:rPr>
                <w:rFonts w:cstheme="minorHAnsi"/>
                <w:bCs/>
                <w:sz w:val="20"/>
                <w:szCs w:val="20"/>
              </w:rPr>
            </w:pPr>
          </w:p>
        </w:tc>
        <w:tc>
          <w:tcPr>
            <w:tcW w:w="4320" w:type="dxa"/>
          </w:tcPr>
          <w:p w:rsidR="004473A8" w:rsidRPr="00024E92" w:rsidRDefault="004473A8" w:rsidP="00DB587B">
            <w:pPr>
              <w:jc w:val="center"/>
              <w:rPr>
                <w:rFonts w:cstheme="minorHAnsi"/>
                <w:bCs/>
              </w:rPr>
            </w:pPr>
            <w:bookmarkStart w:id="0" w:name="_GoBack"/>
            <w:bookmarkEnd w:id="0"/>
          </w:p>
        </w:tc>
        <w:tc>
          <w:tcPr>
            <w:tcW w:w="3438" w:type="dxa"/>
          </w:tcPr>
          <w:p w:rsidR="004473A8" w:rsidRPr="00024E92" w:rsidRDefault="004473A8" w:rsidP="00DB587B">
            <w:pPr>
              <w:jc w:val="center"/>
              <w:rPr>
                <w:rFonts w:cstheme="minorHAnsi"/>
                <w:bCs/>
              </w:rPr>
            </w:pPr>
          </w:p>
        </w:tc>
      </w:tr>
      <w:tr w:rsidR="004473A8" w:rsidRPr="00024E92" w:rsidTr="00937D57">
        <w:trPr>
          <w:trHeight w:val="575"/>
        </w:trPr>
        <w:tc>
          <w:tcPr>
            <w:tcW w:w="1098" w:type="dxa"/>
            <w:vMerge/>
            <w:shd w:val="clear" w:color="auto" w:fill="FBD4B4" w:themeFill="accent6" w:themeFillTint="66"/>
          </w:tcPr>
          <w:p w:rsidR="004473A8" w:rsidRPr="00024E92" w:rsidRDefault="004473A8">
            <w:pPr>
              <w:rPr>
                <w:b/>
              </w:rPr>
            </w:pPr>
          </w:p>
        </w:tc>
        <w:tc>
          <w:tcPr>
            <w:tcW w:w="5760" w:type="dxa"/>
          </w:tcPr>
          <w:p w:rsidR="004473A8" w:rsidRDefault="004473A8" w:rsidP="00DB587B">
            <w:pPr>
              <w:rPr>
                <w:rFonts w:cstheme="minorHAnsi"/>
                <w:bCs/>
                <w:sz w:val="20"/>
                <w:szCs w:val="20"/>
              </w:rPr>
            </w:pPr>
            <w:r w:rsidRPr="005D4D6C">
              <w:rPr>
                <w:rFonts w:cstheme="minorHAnsi"/>
                <w:bCs/>
                <w:sz w:val="20"/>
                <w:szCs w:val="20"/>
              </w:rPr>
              <w:t>District funds are aligned to support integration work and to move it to scale within the district.</w:t>
            </w:r>
          </w:p>
          <w:p w:rsidR="004473A8" w:rsidRPr="00356875" w:rsidRDefault="004473A8" w:rsidP="00DB587B">
            <w:pPr>
              <w:rPr>
                <w:rFonts w:cstheme="minorHAnsi"/>
                <w:bCs/>
                <w:sz w:val="20"/>
                <w:szCs w:val="20"/>
              </w:rPr>
            </w:pPr>
          </w:p>
        </w:tc>
        <w:tc>
          <w:tcPr>
            <w:tcW w:w="4320" w:type="dxa"/>
          </w:tcPr>
          <w:p w:rsidR="004473A8" w:rsidRPr="00024E92" w:rsidRDefault="004473A8" w:rsidP="00DB587B">
            <w:pPr>
              <w:jc w:val="center"/>
              <w:rPr>
                <w:rFonts w:cstheme="minorHAnsi"/>
                <w:bCs/>
              </w:rPr>
            </w:pPr>
          </w:p>
        </w:tc>
        <w:tc>
          <w:tcPr>
            <w:tcW w:w="3438" w:type="dxa"/>
          </w:tcPr>
          <w:p w:rsidR="004473A8" w:rsidRPr="00024E92" w:rsidRDefault="004473A8" w:rsidP="00DB587B">
            <w:pPr>
              <w:jc w:val="center"/>
              <w:rPr>
                <w:rFonts w:cstheme="minorHAnsi"/>
                <w:bCs/>
              </w:rPr>
            </w:pPr>
          </w:p>
        </w:tc>
      </w:tr>
      <w:tr w:rsidR="004473A8" w:rsidRPr="00024E92" w:rsidTr="00937D57">
        <w:trPr>
          <w:trHeight w:val="757"/>
        </w:trPr>
        <w:tc>
          <w:tcPr>
            <w:tcW w:w="1098" w:type="dxa"/>
            <w:vMerge/>
            <w:shd w:val="clear" w:color="auto" w:fill="FBD4B4" w:themeFill="accent6" w:themeFillTint="66"/>
          </w:tcPr>
          <w:p w:rsidR="004473A8" w:rsidRPr="00024E92" w:rsidRDefault="004473A8">
            <w:pPr>
              <w:rPr>
                <w:b/>
              </w:rPr>
            </w:pPr>
          </w:p>
        </w:tc>
        <w:tc>
          <w:tcPr>
            <w:tcW w:w="5760" w:type="dxa"/>
          </w:tcPr>
          <w:p w:rsidR="004473A8" w:rsidRPr="005D4D6C" w:rsidRDefault="004473A8" w:rsidP="00DB587B">
            <w:pPr>
              <w:rPr>
                <w:rFonts w:cstheme="minorHAnsi"/>
                <w:bCs/>
                <w:sz w:val="20"/>
                <w:szCs w:val="20"/>
              </w:rPr>
            </w:pPr>
            <w:r w:rsidRPr="005D4D6C">
              <w:rPr>
                <w:rFonts w:cstheme="minorHAnsi"/>
                <w:bCs/>
                <w:sz w:val="20"/>
                <w:szCs w:val="20"/>
              </w:rPr>
              <w:t xml:space="preserve">Conflicting professional development and curriculum and instruction tools that lack rigor and alignment to College &amp; Career Readiness (CCR) goals have been eliminated. </w:t>
            </w:r>
          </w:p>
          <w:p w:rsidR="004473A8" w:rsidRPr="005D4D6C" w:rsidRDefault="004473A8" w:rsidP="00DB587B">
            <w:pPr>
              <w:rPr>
                <w:rFonts w:cstheme="minorHAnsi"/>
                <w:bCs/>
                <w:sz w:val="20"/>
                <w:szCs w:val="20"/>
              </w:rPr>
            </w:pPr>
          </w:p>
        </w:tc>
        <w:tc>
          <w:tcPr>
            <w:tcW w:w="4320" w:type="dxa"/>
          </w:tcPr>
          <w:p w:rsidR="004473A8" w:rsidRPr="00024E92" w:rsidRDefault="004473A8" w:rsidP="00DB587B">
            <w:pPr>
              <w:jc w:val="center"/>
              <w:rPr>
                <w:rFonts w:cstheme="minorHAnsi"/>
                <w:bCs/>
              </w:rPr>
            </w:pPr>
          </w:p>
        </w:tc>
        <w:tc>
          <w:tcPr>
            <w:tcW w:w="3438" w:type="dxa"/>
          </w:tcPr>
          <w:p w:rsidR="004473A8" w:rsidRPr="00024E92" w:rsidRDefault="004473A8" w:rsidP="00DB587B">
            <w:pPr>
              <w:jc w:val="center"/>
              <w:rPr>
                <w:rFonts w:cstheme="minorHAnsi"/>
                <w:bCs/>
              </w:rPr>
            </w:pPr>
          </w:p>
        </w:tc>
      </w:tr>
      <w:tr w:rsidR="004473A8" w:rsidRPr="00024E92" w:rsidTr="00937D57">
        <w:trPr>
          <w:trHeight w:val="757"/>
        </w:trPr>
        <w:tc>
          <w:tcPr>
            <w:tcW w:w="1098" w:type="dxa"/>
            <w:vMerge/>
            <w:shd w:val="clear" w:color="auto" w:fill="FBD4B4" w:themeFill="accent6" w:themeFillTint="66"/>
          </w:tcPr>
          <w:p w:rsidR="004473A8" w:rsidRPr="00024E92" w:rsidRDefault="004473A8">
            <w:pPr>
              <w:rPr>
                <w:b/>
              </w:rPr>
            </w:pPr>
          </w:p>
        </w:tc>
        <w:tc>
          <w:tcPr>
            <w:tcW w:w="5760" w:type="dxa"/>
          </w:tcPr>
          <w:p w:rsidR="004473A8" w:rsidRPr="005D4D6C" w:rsidRDefault="004473A8" w:rsidP="00DB587B">
            <w:pPr>
              <w:rPr>
                <w:rFonts w:cstheme="minorHAnsi"/>
                <w:bCs/>
                <w:sz w:val="20"/>
                <w:szCs w:val="20"/>
              </w:rPr>
            </w:pPr>
            <w:r w:rsidRPr="005D4D6C">
              <w:rPr>
                <w:rFonts w:cstheme="minorHAnsi"/>
                <w:bCs/>
                <w:sz w:val="20"/>
                <w:szCs w:val="20"/>
              </w:rPr>
              <w:t>Other district/school initiatives are aligned and provide a coherent strategy for improved student learning outcomes and educator growth and effectiveness.</w:t>
            </w:r>
          </w:p>
          <w:p w:rsidR="004473A8" w:rsidRPr="005D4D6C" w:rsidRDefault="004473A8" w:rsidP="00DB587B">
            <w:pPr>
              <w:rPr>
                <w:rFonts w:cstheme="minorHAnsi"/>
                <w:bCs/>
                <w:sz w:val="20"/>
                <w:szCs w:val="20"/>
              </w:rPr>
            </w:pPr>
          </w:p>
        </w:tc>
        <w:tc>
          <w:tcPr>
            <w:tcW w:w="4320" w:type="dxa"/>
          </w:tcPr>
          <w:p w:rsidR="004473A8" w:rsidRPr="00024E92" w:rsidRDefault="004473A8" w:rsidP="00DB587B">
            <w:pPr>
              <w:jc w:val="center"/>
              <w:rPr>
                <w:rFonts w:cstheme="minorHAnsi"/>
                <w:bCs/>
              </w:rPr>
            </w:pPr>
          </w:p>
        </w:tc>
        <w:tc>
          <w:tcPr>
            <w:tcW w:w="3438" w:type="dxa"/>
          </w:tcPr>
          <w:p w:rsidR="004473A8" w:rsidRPr="00024E92" w:rsidRDefault="004473A8" w:rsidP="00DB587B">
            <w:pPr>
              <w:jc w:val="center"/>
              <w:rPr>
                <w:rFonts w:cstheme="minorHAnsi"/>
                <w:bCs/>
              </w:rPr>
            </w:pPr>
          </w:p>
        </w:tc>
      </w:tr>
      <w:tr w:rsidR="004473A8" w:rsidRPr="00024E92" w:rsidTr="00937D57">
        <w:trPr>
          <w:trHeight w:val="757"/>
        </w:trPr>
        <w:tc>
          <w:tcPr>
            <w:tcW w:w="1098" w:type="dxa"/>
            <w:vMerge/>
            <w:shd w:val="clear" w:color="auto" w:fill="FBD4B4" w:themeFill="accent6" w:themeFillTint="66"/>
          </w:tcPr>
          <w:p w:rsidR="004473A8" w:rsidRPr="00024E92" w:rsidRDefault="004473A8"/>
        </w:tc>
        <w:tc>
          <w:tcPr>
            <w:tcW w:w="5760" w:type="dxa"/>
          </w:tcPr>
          <w:p w:rsidR="004473A8" w:rsidRDefault="004473A8" w:rsidP="00DB587B">
            <w:r w:rsidRPr="005D4D6C">
              <w:rPr>
                <w:rFonts w:cstheme="minorHAnsi"/>
                <w:sz w:val="20"/>
                <w:szCs w:val="20"/>
              </w:rPr>
              <w:t>District/school policies present a coherent suite that supports implementation of the integrated strategy (e.g., alignment to CCSS; PD is flexible to meet the needs of educators) as a part of a college and career ready agenda.</w:t>
            </w:r>
          </w:p>
          <w:p w:rsidR="004473A8" w:rsidRPr="00024E92" w:rsidRDefault="004473A8" w:rsidP="00DB587B"/>
        </w:tc>
        <w:tc>
          <w:tcPr>
            <w:tcW w:w="4320" w:type="dxa"/>
          </w:tcPr>
          <w:p w:rsidR="004473A8" w:rsidRPr="00024E92" w:rsidRDefault="004473A8">
            <w:pPr>
              <w:rPr>
                <w:rFonts w:cstheme="minorHAnsi"/>
              </w:rPr>
            </w:pPr>
          </w:p>
        </w:tc>
        <w:tc>
          <w:tcPr>
            <w:tcW w:w="3438" w:type="dxa"/>
          </w:tcPr>
          <w:p w:rsidR="004473A8" w:rsidRPr="00024E92" w:rsidRDefault="004473A8">
            <w:pPr>
              <w:rPr>
                <w:rFonts w:cstheme="minorHAnsi"/>
              </w:rPr>
            </w:pPr>
          </w:p>
        </w:tc>
      </w:tr>
      <w:tr w:rsidR="004473A8" w:rsidRPr="00024E92" w:rsidTr="00937D57">
        <w:trPr>
          <w:trHeight w:val="503"/>
        </w:trPr>
        <w:tc>
          <w:tcPr>
            <w:tcW w:w="1098" w:type="dxa"/>
            <w:shd w:val="clear" w:color="auto" w:fill="808080" w:themeFill="background1" w:themeFillShade="80"/>
          </w:tcPr>
          <w:p w:rsidR="004473A8" w:rsidRPr="00024E92" w:rsidRDefault="004473A8" w:rsidP="003C586D">
            <w:pPr>
              <w:jc w:val="center"/>
              <w:rPr>
                <w:b/>
                <w:sz w:val="24"/>
                <w:szCs w:val="24"/>
              </w:rPr>
            </w:pPr>
            <w:r w:rsidRPr="003F3E6D">
              <w:rPr>
                <w:b/>
                <w:color w:val="FFFFFF" w:themeColor="background1"/>
                <w:sz w:val="24"/>
                <w:szCs w:val="24"/>
              </w:rPr>
              <w:lastRenderedPageBreak/>
              <w:t>Capacity Area</w:t>
            </w:r>
          </w:p>
        </w:tc>
        <w:tc>
          <w:tcPr>
            <w:tcW w:w="5760" w:type="dxa"/>
            <w:shd w:val="clear" w:color="auto" w:fill="808080" w:themeFill="background1" w:themeFillShade="80"/>
          </w:tcPr>
          <w:p w:rsidR="004473A8" w:rsidRPr="00DB587B" w:rsidRDefault="004473A8" w:rsidP="003C586D">
            <w:pPr>
              <w:jc w:val="center"/>
              <w:rPr>
                <w:rFonts w:cstheme="minorHAnsi"/>
                <w:b/>
                <w:bCs/>
                <w:color w:val="FFFFFF" w:themeColor="background1"/>
              </w:rPr>
            </w:pPr>
            <w:r w:rsidRPr="00DB587B">
              <w:rPr>
                <w:rFonts w:cstheme="minorHAnsi"/>
                <w:b/>
                <w:bCs/>
                <w:color w:val="FFFFFF" w:themeColor="background1"/>
              </w:rPr>
              <w:t>Criteria</w:t>
            </w:r>
          </w:p>
        </w:tc>
        <w:tc>
          <w:tcPr>
            <w:tcW w:w="4320" w:type="dxa"/>
            <w:shd w:val="clear" w:color="auto" w:fill="808080" w:themeFill="background1" w:themeFillShade="80"/>
          </w:tcPr>
          <w:p w:rsidR="004473A8" w:rsidRPr="00DB587B" w:rsidRDefault="00181FB5" w:rsidP="00181FB5">
            <w:pPr>
              <w:tabs>
                <w:tab w:val="left" w:pos="660"/>
              </w:tabs>
              <w:rPr>
                <w:rFonts w:cstheme="minorHAnsi"/>
                <w:b/>
                <w:bCs/>
                <w:color w:val="FFFFFF" w:themeColor="background1"/>
              </w:rPr>
            </w:pPr>
            <w:r>
              <w:rPr>
                <w:rFonts w:cstheme="minorHAnsi"/>
                <w:b/>
                <w:bCs/>
                <w:color w:val="FFFFFF" w:themeColor="background1"/>
              </w:rPr>
              <w:tab/>
              <w:t>How is this currently working?</w:t>
            </w:r>
          </w:p>
        </w:tc>
        <w:tc>
          <w:tcPr>
            <w:tcW w:w="3438" w:type="dxa"/>
            <w:shd w:val="clear" w:color="auto" w:fill="808080" w:themeFill="background1" w:themeFillShade="80"/>
          </w:tcPr>
          <w:p w:rsidR="004473A8" w:rsidRPr="00DB587B" w:rsidRDefault="00181FB5" w:rsidP="003C586D">
            <w:pPr>
              <w:jc w:val="center"/>
              <w:rPr>
                <w:rFonts w:cstheme="minorHAnsi"/>
                <w:b/>
                <w:bCs/>
                <w:color w:val="FFFFFF" w:themeColor="background1"/>
              </w:rPr>
            </w:pPr>
            <w:r>
              <w:rPr>
                <w:rFonts w:cstheme="minorHAnsi"/>
                <w:b/>
                <w:bCs/>
                <w:color w:val="FFFFFF" w:themeColor="background1"/>
              </w:rPr>
              <w:t>What revisions need to be made for Spring 2014?</w:t>
            </w:r>
          </w:p>
        </w:tc>
      </w:tr>
      <w:tr w:rsidR="004473A8" w:rsidRPr="00024E92" w:rsidTr="00937D57">
        <w:trPr>
          <w:trHeight w:val="710"/>
        </w:trPr>
        <w:tc>
          <w:tcPr>
            <w:tcW w:w="1098" w:type="dxa"/>
            <w:vMerge w:val="restart"/>
            <w:shd w:val="clear" w:color="auto" w:fill="C4BC96" w:themeFill="background2" w:themeFillShade="BF"/>
            <w:textDirection w:val="btLr"/>
          </w:tcPr>
          <w:p w:rsidR="004473A8" w:rsidRPr="00925900" w:rsidRDefault="004473A8" w:rsidP="005D4D6C">
            <w:pPr>
              <w:ind w:left="113" w:right="113"/>
              <w:jc w:val="center"/>
              <w:rPr>
                <w:b/>
                <w:sz w:val="28"/>
                <w:szCs w:val="28"/>
              </w:rPr>
            </w:pPr>
            <w:r w:rsidRPr="00925900">
              <w:rPr>
                <w:b/>
                <w:sz w:val="28"/>
                <w:szCs w:val="28"/>
              </w:rPr>
              <w:t>Teacher Supports for CCSS Implementation and Literacy &amp; Mathematics Tools</w:t>
            </w: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pPr>
          </w:p>
        </w:tc>
        <w:tc>
          <w:tcPr>
            <w:tcW w:w="5760" w:type="dxa"/>
          </w:tcPr>
          <w:p w:rsidR="004473A8" w:rsidRDefault="004473A8" w:rsidP="00B46326">
            <w:pPr>
              <w:rPr>
                <w:rFonts w:cstheme="minorHAnsi"/>
                <w:bCs/>
                <w:sz w:val="20"/>
                <w:szCs w:val="20"/>
              </w:rPr>
            </w:pPr>
            <w:r w:rsidRPr="005D4D6C">
              <w:rPr>
                <w:rFonts w:cstheme="minorHAnsi"/>
                <w:bCs/>
                <w:sz w:val="20"/>
                <w:szCs w:val="20"/>
              </w:rPr>
              <w:t xml:space="preserve">District and school curricula at all levels are aligned to the KCAS; curriculum maps, syllabi, units and/or lesson plans reflect this alignment.   </w:t>
            </w:r>
          </w:p>
          <w:p w:rsidR="004473A8" w:rsidRDefault="004473A8" w:rsidP="00B46326">
            <w:pPr>
              <w:rPr>
                <w:rFonts w:cstheme="minorHAnsi"/>
                <w:bCs/>
                <w:sz w:val="20"/>
                <w:szCs w:val="20"/>
              </w:rPr>
            </w:pPr>
          </w:p>
          <w:p w:rsidR="004473A8" w:rsidRDefault="004473A8" w:rsidP="00B46326">
            <w:pPr>
              <w:rPr>
                <w:rFonts w:cstheme="minorHAnsi"/>
                <w:bCs/>
                <w:sz w:val="20"/>
                <w:szCs w:val="20"/>
              </w:rPr>
            </w:pPr>
          </w:p>
          <w:p w:rsidR="004473A8" w:rsidRDefault="004473A8" w:rsidP="00B46326">
            <w:pPr>
              <w:rPr>
                <w:rFonts w:cstheme="minorHAnsi"/>
                <w:bCs/>
                <w:sz w:val="20"/>
                <w:szCs w:val="20"/>
              </w:rPr>
            </w:pPr>
          </w:p>
          <w:p w:rsidR="004473A8" w:rsidRPr="005D4D6C" w:rsidRDefault="004473A8" w:rsidP="00B46326">
            <w:pPr>
              <w:rPr>
                <w:rFonts w:cstheme="minorHAnsi"/>
                <w:sz w:val="20"/>
                <w:szCs w:val="20"/>
              </w:rPr>
            </w:pPr>
            <w:r w:rsidRPr="005D4D6C">
              <w:rPr>
                <w:rFonts w:cstheme="minorHAnsi"/>
                <w:bCs/>
                <w:sz w:val="20"/>
                <w:szCs w:val="20"/>
              </w:rPr>
              <w:t xml:space="preserve">                                 </w:t>
            </w:r>
          </w:p>
        </w:tc>
        <w:tc>
          <w:tcPr>
            <w:tcW w:w="4320" w:type="dxa"/>
          </w:tcPr>
          <w:p w:rsidR="004473A8" w:rsidRPr="00024E92" w:rsidRDefault="004473A8" w:rsidP="00B46326">
            <w:pPr>
              <w:rPr>
                <w:rFonts w:cstheme="minorHAnsi"/>
                <w:bCs/>
              </w:rPr>
            </w:pPr>
          </w:p>
        </w:tc>
        <w:tc>
          <w:tcPr>
            <w:tcW w:w="3438" w:type="dxa"/>
          </w:tcPr>
          <w:p w:rsidR="004473A8" w:rsidRPr="00024E92" w:rsidRDefault="004473A8" w:rsidP="00B46326">
            <w:pPr>
              <w:rPr>
                <w:rFonts w:cstheme="minorHAnsi"/>
                <w:bCs/>
              </w:rPr>
            </w:pPr>
          </w:p>
        </w:tc>
      </w:tr>
      <w:tr w:rsidR="004473A8" w:rsidRPr="00024E92" w:rsidTr="00937D57">
        <w:trPr>
          <w:trHeight w:val="710"/>
        </w:trPr>
        <w:tc>
          <w:tcPr>
            <w:tcW w:w="1098" w:type="dxa"/>
            <w:vMerge/>
            <w:shd w:val="clear" w:color="auto" w:fill="C4BC96" w:themeFill="background2" w:themeFillShade="BF"/>
          </w:tcPr>
          <w:p w:rsidR="004473A8" w:rsidRPr="00024E92" w:rsidRDefault="004473A8">
            <w:pPr>
              <w:rPr>
                <w:b/>
                <w:sz w:val="24"/>
                <w:szCs w:val="24"/>
              </w:rPr>
            </w:pPr>
          </w:p>
        </w:tc>
        <w:tc>
          <w:tcPr>
            <w:tcW w:w="5760" w:type="dxa"/>
          </w:tcPr>
          <w:p w:rsidR="004473A8" w:rsidRDefault="004473A8" w:rsidP="003033F0">
            <w:pPr>
              <w:rPr>
                <w:sz w:val="20"/>
                <w:szCs w:val="20"/>
              </w:rPr>
            </w:pPr>
            <w:r w:rsidRPr="005D4D6C">
              <w:rPr>
                <w:rFonts w:cstheme="minorHAnsi"/>
                <w:sz w:val="20"/>
                <w:szCs w:val="20"/>
              </w:rPr>
              <w:t xml:space="preserve">Educators use student work and data to inform instructional practice, </w:t>
            </w:r>
            <w:r w:rsidRPr="005D4D6C">
              <w:rPr>
                <w:sz w:val="20"/>
                <w:szCs w:val="20"/>
              </w:rPr>
              <w:t>professional growth needs, and the use and refinement of tools.</w:t>
            </w:r>
          </w:p>
          <w:p w:rsidR="004473A8" w:rsidRDefault="004473A8" w:rsidP="003033F0">
            <w:pPr>
              <w:rPr>
                <w:sz w:val="20"/>
                <w:szCs w:val="20"/>
              </w:rPr>
            </w:pPr>
          </w:p>
          <w:p w:rsidR="004473A8" w:rsidRDefault="004473A8" w:rsidP="003033F0">
            <w:pPr>
              <w:rPr>
                <w:sz w:val="20"/>
                <w:szCs w:val="20"/>
              </w:rPr>
            </w:pPr>
          </w:p>
          <w:p w:rsidR="004473A8" w:rsidRPr="005D4D6C" w:rsidRDefault="004473A8" w:rsidP="003033F0">
            <w:pPr>
              <w:rPr>
                <w:rFonts w:cstheme="minorHAnsi"/>
                <w:sz w:val="20"/>
                <w:szCs w:val="20"/>
              </w:rPr>
            </w:pPr>
          </w:p>
          <w:p w:rsidR="004473A8" w:rsidRPr="005D4D6C" w:rsidRDefault="004473A8" w:rsidP="003033F0">
            <w:pPr>
              <w:rPr>
                <w:rFonts w:cstheme="minorHAnsi"/>
                <w:bCs/>
                <w:sz w:val="20"/>
                <w:szCs w:val="20"/>
              </w:rPr>
            </w:pPr>
            <w:r w:rsidRPr="005D4D6C">
              <w:rPr>
                <w:rFonts w:cstheme="minorHAnsi"/>
                <w:bCs/>
                <w:sz w:val="20"/>
                <w:szCs w:val="20"/>
              </w:rPr>
              <w:t xml:space="preserve">                                                 </w:t>
            </w:r>
          </w:p>
          <w:p w:rsidR="004473A8" w:rsidRPr="005D4D6C" w:rsidRDefault="004473A8" w:rsidP="00B46326">
            <w:pPr>
              <w:rPr>
                <w:rFonts w:cstheme="minorHAnsi"/>
                <w:bCs/>
                <w:sz w:val="20"/>
                <w:szCs w:val="20"/>
              </w:rPr>
            </w:pPr>
          </w:p>
        </w:tc>
        <w:tc>
          <w:tcPr>
            <w:tcW w:w="4320" w:type="dxa"/>
          </w:tcPr>
          <w:p w:rsidR="004473A8" w:rsidRPr="00C742BE" w:rsidRDefault="004473A8" w:rsidP="003033F0">
            <w:pPr>
              <w:rPr>
                <w:rFonts w:cstheme="minorHAnsi"/>
              </w:rPr>
            </w:pPr>
          </w:p>
        </w:tc>
        <w:tc>
          <w:tcPr>
            <w:tcW w:w="3438" w:type="dxa"/>
          </w:tcPr>
          <w:p w:rsidR="004473A8" w:rsidRPr="00C742BE" w:rsidRDefault="004473A8" w:rsidP="003033F0">
            <w:pPr>
              <w:rPr>
                <w:rFonts w:cstheme="minorHAnsi"/>
              </w:rPr>
            </w:pPr>
          </w:p>
        </w:tc>
      </w:tr>
      <w:tr w:rsidR="004473A8" w:rsidRPr="00024E92" w:rsidTr="00937D57">
        <w:trPr>
          <w:trHeight w:val="800"/>
        </w:trPr>
        <w:tc>
          <w:tcPr>
            <w:tcW w:w="1098" w:type="dxa"/>
            <w:vMerge/>
            <w:shd w:val="clear" w:color="auto" w:fill="C4BC96" w:themeFill="background2" w:themeFillShade="BF"/>
          </w:tcPr>
          <w:p w:rsidR="004473A8" w:rsidRPr="00024E92" w:rsidRDefault="004473A8"/>
        </w:tc>
        <w:tc>
          <w:tcPr>
            <w:tcW w:w="5760" w:type="dxa"/>
          </w:tcPr>
          <w:p w:rsidR="004473A8" w:rsidRDefault="004473A8" w:rsidP="00B46326">
            <w:pPr>
              <w:rPr>
                <w:rFonts w:cstheme="minorHAnsi"/>
                <w:bCs/>
                <w:sz w:val="20"/>
                <w:szCs w:val="20"/>
              </w:rPr>
            </w:pPr>
            <w:r w:rsidRPr="005D4D6C">
              <w:rPr>
                <w:rFonts w:cstheme="minorHAnsi"/>
                <w:bCs/>
                <w:sz w:val="20"/>
                <w:szCs w:val="20"/>
              </w:rPr>
              <w:t>Educators participate in LDC and MDC professional learning and implement the frameworks in the classrooms as a part of a college and career ready agenda.</w:t>
            </w:r>
          </w:p>
          <w:p w:rsidR="004473A8" w:rsidRDefault="004473A8" w:rsidP="00B46326">
            <w:pPr>
              <w:rPr>
                <w:rFonts w:cstheme="minorHAnsi"/>
                <w:bCs/>
                <w:sz w:val="20"/>
                <w:szCs w:val="20"/>
              </w:rPr>
            </w:pPr>
          </w:p>
          <w:p w:rsidR="004473A8" w:rsidRDefault="004473A8" w:rsidP="00B46326">
            <w:pPr>
              <w:rPr>
                <w:rFonts w:cstheme="minorHAnsi"/>
                <w:bCs/>
                <w:sz w:val="20"/>
                <w:szCs w:val="20"/>
              </w:rPr>
            </w:pPr>
          </w:p>
          <w:p w:rsidR="004473A8" w:rsidRPr="005D4D6C" w:rsidRDefault="004473A8" w:rsidP="00B46326">
            <w:pPr>
              <w:rPr>
                <w:rFonts w:cstheme="minorHAnsi"/>
                <w:bCs/>
                <w:sz w:val="20"/>
                <w:szCs w:val="20"/>
              </w:rPr>
            </w:pPr>
          </w:p>
          <w:p w:rsidR="004473A8" w:rsidRDefault="004473A8" w:rsidP="00062E79">
            <w:pPr>
              <w:rPr>
                <w:rFonts w:cstheme="minorHAnsi"/>
                <w:sz w:val="20"/>
                <w:szCs w:val="20"/>
              </w:rPr>
            </w:pPr>
            <w:r w:rsidRPr="005D4D6C">
              <w:rPr>
                <w:rFonts w:cstheme="minorHAnsi"/>
                <w:sz w:val="20"/>
                <w:szCs w:val="20"/>
              </w:rPr>
              <w:t xml:space="preserve">        </w:t>
            </w:r>
          </w:p>
          <w:p w:rsidR="004473A8" w:rsidRDefault="004473A8" w:rsidP="00062E79">
            <w:pPr>
              <w:rPr>
                <w:rFonts w:cstheme="minorHAnsi"/>
                <w:sz w:val="20"/>
                <w:szCs w:val="20"/>
              </w:rPr>
            </w:pPr>
          </w:p>
          <w:p w:rsidR="004473A8" w:rsidRPr="005D4D6C" w:rsidRDefault="004473A8" w:rsidP="00062E79">
            <w:pPr>
              <w:rPr>
                <w:rFonts w:cstheme="minorHAnsi"/>
                <w:sz w:val="20"/>
                <w:szCs w:val="20"/>
              </w:rPr>
            </w:pPr>
          </w:p>
        </w:tc>
        <w:tc>
          <w:tcPr>
            <w:tcW w:w="4320" w:type="dxa"/>
          </w:tcPr>
          <w:p w:rsidR="004473A8" w:rsidRPr="00024E92" w:rsidRDefault="004473A8" w:rsidP="00B46326">
            <w:pPr>
              <w:rPr>
                <w:rFonts w:cstheme="minorHAnsi"/>
                <w:bCs/>
              </w:rPr>
            </w:pPr>
          </w:p>
        </w:tc>
        <w:tc>
          <w:tcPr>
            <w:tcW w:w="3438" w:type="dxa"/>
          </w:tcPr>
          <w:p w:rsidR="004473A8" w:rsidRPr="00024E92" w:rsidRDefault="004473A8" w:rsidP="00B46326">
            <w:pPr>
              <w:rPr>
                <w:rFonts w:cstheme="minorHAnsi"/>
                <w:bCs/>
              </w:rPr>
            </w:pPr>
          </w:p>
        </w:tc>
      </w:tr>
      <w:tr w:rsidR="004473A8" w:rsidRPr="00024E92" w:rsidTr="00937D57">
        <w:trPr>
          <w:trHeight w:val="999"/>
        </w:trPr>
        <w:tc>
          <w:tcPr>
            <w:tcW w:w="1098" w:type="dxa"/>
            <w:vMerge/>
            <w:shd w:val="clear" w:color="auto" w:fill="C4BC96" w:themeFill="background2" w:themeFillShade="BF"/>
          </w:tcPr>
          <w:p w:rsidR="004473A8" w:rsidRPr="00024E92" w:rsidRDefault="004473A8"/>
        </w:tc>
        <w:tc>
          <w:tcPr>
            <w:tcW w:w="5760" w:type="dxa"/>
            <w:tcBorders>
              <w:bottom w:val="single" w:sz="4" w:space="0" w:color="auto"/>
            </w:tcBorders>
          </w:tcPr>
          <w:p w:rsidR="004473A8" w:rsidRDefault="004473A8" w:rsidP="005D4D6C">
            <w:pPr>
              <w:rPr>
                <w:rFonts w:cstheme="minorHAnsi"/>
                <w:bCs/>
                <w:sz w:val="20"/>
                <w:szCs w:val="20"/>
              </w:rPr>
            </w:pPr>
            <w:r w:rsidRPr="005D4D6C">
              <w:rPr>
                <w:rFonts w:cstheme="minorHAnsi"/>
                <w:sz w:val="20"/>
                <w:szCs w:val="20"/>
              </w:rPr>
              <w:t>Educators from the Networks, Integration work and other related initiatives have time to meet together to plan, reflect, observe and coach each other on the KCAS implementation, including the literacy and math tools.</w:t>
            </w:r>
            <w:r w:rsidRPr="005D4D6C">
              <w:rPr>
                <w:rFonts w:cstheme="minorHAnsi"/>
                <w:bCs/>
                <w:sz w:val="20"/>
                <w:szCs w:val="20"/>
              </w:rPr>
              <w:t xml:space="preserve">      </w:t>
            </w:r>
          </w:p>
          <w:p w:rsidR="004473A8" w:rsidRDefault="004473A8" w:rsidP="005D4D6C">
            <w:pPr>
              <w:rPr>
                <w:rFonts w:cstheme="minorHAnsi"/>
                <w:bCs/>
                <w:sz w:val="20"/>
                <w:szCs w:val="20"/>
              </w:rPr>
            </w:pPr>
          </w:p>
          <w:p w:rsidR="004473A8" w:rsidRDefault="004473A8" w:rsidP="005D4D6C">
            <w:pPr>
              <w:rPr>
                <w:rFonts w:cstheme="minorHAnsi"/>
                <w:bCs/>
                <w:sz w:val="20"/>
                <w:szCs w:val="20"/>
              </w:rPr>
            </w:pPr>
          </w:p>
          <w:p w:rsidR="004473A8" w:rsidRDefault="004473A8" w:rsidP="005D4D6C">
            <w:pPr>
              <w:rPr>
                <w:rFonts w:cstheme="minorHAnsi"/>
                <w:bCs/>
                <w:sz w:val="20"/>
                <w:szCs w:val="20"/>
              </w:rPr>
            </w:pPr>
            <w:r w:rsidRPr="005D4D6C">
              <w:rPr>
                <w:rFonts w:cstheme="minorHAnsi"/>
                <w:bCs/>
                <w:sz w:val="20"/>
                <w:szCs w:val="20"/>
              </w:rPr>
              <w:t xml:space="preserve">      </w:t>
            </w:r>
          </w:p>
          <w:p w:rsidR="004473A8" w:rsidRDefault="004473A8" w:rsidP="005D4D6C">
            <w:pPr>
              <w:rPr>
                <w:rFonts w:cstheme="minorHAnsi"/>
                <w:bCs/>
                <w:sz w:val="20"/>
                <w:szCs w:val="20"/>
              </w:rPr>
            </w:pPr>
          </w:p>
          <w:p w:rsidR="004473A8" w:rsidRPr="005D4D6C" w:rsidRDefault="004473A8" w:rsidP="005D4D6C">
            <w:pPr>
              <w:rPr>
                <w:rFonts w:cstheme="minorHAnsi"/>
                <w:sz w:val="20"/>
                <w:szCs w:val="20"/>
              </w:rPr>
            </w:pPr>
            <w:r w:rsidRPr="005D4D6C">
              <w:rPr>
                <w:rFonts w:cstheme="minorHAnsi"/>
                <w:bCs/>
                <w:sz w:val="20"/>
                <w:szCs w:val="20"/>
              </w:rPr>
              <w:t xml:space="preserve">                               </w:t>
            </w:r>
          </w:p>
        </w:tc>
        <w:tc>
          <w:tcPr>
            <w:tcW w:w="4320" w:type="dxa"/>
            <w:tcBorders>
              <w:bottom w:val="single" w:sz="4" w:space="0" w:color="auto"/>
            </w:tcBorders>
          </w:tcPr>
          <w:p w:rsidR="004473A8" w:rsidRPr="00024E92" w:rsidRDefault="004473A8" w:rsidP="00B46326">
            <w:pPr>
              <w:rPr>
                <w:rFonts w:cstheme="minorHAnsi"/>
              </w:rPr>
            </w:pPr>
          </w:p>
        </w:tc>
        <w:tc>
          <w:tcPr>
            <w:tcW w:w="3438" w:type="dxa"/>
            <w:tcBorders>
              <w:bottom w:val="single" w:sz="4" w:space="0" w:color="auto"/>
            </w:tcBorders>
          </w:tcPr>
          <w:p w:rsidR="004473A8" w:rsidRPr="00024E92" w:rsidRDefault="004473A8" w:rsidP="00B46326">
            <w:pPr>
              <w:rPr>
                <w:rFonts w:cstheme="minorHAnsi"/>
              </w:rPr>
            </w:pPr>
          </w:p>
        </w:tc>
      </w:tr>
      <w:tr w:rsidR="004473A8" w:rsidRPr="00024E92" w:rsidTr="00937D57">
        <w:trPr>
          <w:trHeight w:val="503"/>
        </w:trPr>
        <w:tc>
          <w:tcPr>
            <w:tcW w:w="1098" w:type="dxa"/>
            <w:shd w:val="clear" w:color="auto" w:fill="808080" w:themeFill="background1" w:themeFillShade="80"/>
          </w:tcPr>
          <w:p w:rsidR="004473A8" w:rsidRPr="00024E92" w:rsidRDefault="004473A8" w:rsidP="003C586D">
            <w:pPr>
              <w:jc w:val="center"/>
              <w:rPr>
                <w:b/>
                <w:sz w:val="24"/>
                <w:szCs w:val="24"/>
              </w:rPr>
            </w:pPr>
            <w:r w:rsidRPr="003F3E6D">
              <w:rPr>
                <w:b/>
                <w:color w:val="FFFFFF" w:themeColor="background1"/>
                <w:sz w:val="24"/>
                <w:szCs w:val="24"/>
              </w:rPr>
              <w:lastRenderedPageBreak/>
              <w:t>Capacity Area</w:t>
            </w:r>
          </w:p>
        </w:tc>
        <w:tc>
          <w:tcPr>
            <w:tcW w:w="5760" w:type="dxa"/>
            <w:shd w:val="clear" w:color="auto" w:fill="808080" w:themeFill="background1" w:themeFillShade="80"/>
          </w:tcPr>
          <w:p w:rsidR="004473A8" w:rsidRPr="00DB587B" w:rsidRDefault="004473A8" w:rsidP="003C586D">
            <w:pPr>
              <w:jc w:val="center"/>
              <w:rPr>
                <w:rFonts w:cstheme="minorHAnsi"/>
                <w:b/>
                <w:bCs/>
                <w:color w:val="FFFFFF" w:themeColor="background1"/>
              </w:rPr>
            </w:pPr>
            <w:r w:rsidRPr="00DB587B">
              <w:rPr>
                <w:rFonts w:cstheme="minorHAnsi"/>
                <w:b/>
                <w:bCs/>
                <w:color w:val="FFFFFF" w:themeColor="background1"/>
              </w:rPr>
              <w:t>Criteria</w:t>
            </w:r>
          </w:p>
        </w:tc>
        <w:tc>
          <w:tcPr>
            <w:tcW w:w="4320" w:type="dxa"/>
            <w:shd w:val="clear" w:color="auto" w:fill="808080" w:themeFill="background1" w:themeFillShade="80"/>
          </w:tcPr>
          <w:p w:rsidR="00181FB5" w:rsidRPr="00DB587B" w:rsidRDefault="004473A8" w:rsidP="00181FB5">
            <w:pPr>
              <w:jc w:val="center"/>
              <w:rPr>
                <w:rFonts w:cstheme="minorHAnsi"/>
                <w:b/>
                <w:bCs/>
                <w:color w:val="FFFFFF" w:themeColor="background1"/>
              </w:rPr>
            </w:pPr>
            <w:r>
              <w:rPr>
                <w:rFonts w:cstheme="minorHAnsi"/>
                <w:b/>
                <w:bCs/>
                <w:color w:val="FFFFFF" w:themeColor="background1"/>
              </w:rPr>
              <w:t xml:space="preserve">How </w:t>
            </w:r>
            <w:r w:rsidR="00181FB5">
              <w:rPr>
                <w:rFonts w:cstheme="minorHAnsi"/>
                <w:b/>
                <w:bCs/>
                <w:color w:val="FFFFFF" w:themeColor="background1"/>
              </w:rPr>
              <w:t>is this currently working?</w:t>
            </w:r>
          </w:p>
          <w:p w:rsidR="004473A8" w:rsidRPr="00DB587B" w:rsidRDefault="004473A8" w:rsidP="00590F0A">
            <w:pPr>
              <w:jc w:val="center"/>
              <w:rPr>
                <w:rFonts w:cstheme="minorHAnsi"/>
                <w:b/>
                <w:bCs/>
                <w:color w:val="FFFFFF" w:themeColor="background1"/>
              </w:rPr>
            </w:pPr>
          </w:p>
        </w:tc>
        <w:tc>
          <w:tcPr>
            <w:tcW w:w="3438" w:type="dxa"/>
            <w:shd w:val="clear" w:color="auto" w:fill="808080" w:themeFill="background1" w:themeFillShade="80"/>
          </w:tcPr>
          <w:p w:rsidR="004473A8" w:rsidRPr="00DB587B" w:rsidRDefault="00181FB5" w:rsidP="00181FB5">
            <w:pPr>
              <w:jc w:val="center"/>
              <w:rPr>
                <w:rFonts w:cstheme="minorHAnsi"/>
                <w:b/>
                <w:bCs/>
                <w:color w:val="FFFFFF" w:themeColor="background1"/>
              </w:rPr>
            </w:pPr>
            <w:r>
              <w:rPr>
                <w:rFonts w:cstheme="minorHAnsi"/>
                <w:b/>
                <w:bCs/>
                <w:color w:val="FFFFFF" w:themeColor="background1"/>
              </w:rPr>
              <w:t>What revisions need to be made for Spring 2014?</w:t>
            </w:r>
          </w:p>
        </w:tc>
      </w:tr>
      <w:tr w:rsidR="004473A8" w:rsidRPr="00024E92" w:rsidTr="00937D57">
        <w:trPr>
          <w:trHeight w:val="932"/>
        </w:trPr>
        <w:tc>
          <w:tcPr>
            <w:tcW w:w="1098" w:type="dxa"/>
            <w:vMerge w:val="restart"/>
            <w:shd w:val="clear" w:color="auto" w:fill="E5DFEC" w:themeFill="accent4" w:themeFillTint="33"/>
            <w:textDirection w:val="btLr"/>
          </w:tcPr>
          <w:p w:rsidR="004473A8" w:rsidRPr="00925900" w:rsidRDefault="004473A8" w:rsidP="005D4D6C">
            <w:pPr>
              <w:ind w:left="113" w:right="113"/>
              <w:jc w:val="center"/>
              <w:rPr>
                <w:b/>
                <w:sz w:val="28"/>
                <w:szCs w:val="28"/>
              </w:rPr>
            </w:pPr>
            <w:r w:rsidRPr="00925900">
              <w:rPr>
                <w:b/>
                <w:sz w:val="28"/>
                <w:szCs w:val="28"/>
              </w:rPr>
              <w:t>Educator Effectiveness System Supports</w:t>
            </w:r>
          </w:p>
          <w:p w:rsidR="004473A8" w:rsidRPr="00925900" w:rsidRDefault="004473A8" w:rsidP="005D4D6C">
            <w:pPr>
              <w:ind w:left="113" w:right="113"/>
              <w:rPr>
                <w:b/>
                <w:sz w:val="28"/>
                <w:szCs w:val="28"/>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rPr>
                <w:b/>
              </w:rPr>
            </w:pPr>
          </w:p>
          <w:p w:rsidR="004473A8" w:rsidRPr="00024E92" w:rsidRDefault="004473A8" w:rsidP="005D4D6C">
            <w:pPr>
              <w:ind w:left="113" w:right="113"/>
            </w:pPr>
          </w:p>
        </w:tc>
        <w:tc>
          <w:tcPr>
            <w:tcW w:w="5760" w:type="dxa"/>
          </w:tcPr>
          <w:p w:rsidR="004473A8" w:rsidRDefault="004473A8" w:rsidP="00B46326">
            <w:pPr>
              <w:rPr>
                <w:rFonts w:cstheme="minorHAnsi"/>
                <w:bCs/>
                <w:sz w:val="20"/>
                <w:szCs w:val="20"/>
              </w:rPr>
            </w:pPr>
            <w:r w:rsidRPr="005D4D6C">
              <w:rPr>
                <w:rFonts w:cstheme="minorHAnsi"/>
                <w:bCs/>
                <w:sz w:val="20"/>
                <w:szCs w:val="20"/>
              </w:rPr>
              <w:t>Educator effectiveness tools are impleme</w:t>
            </w:r>
            <w:r>
              <w:rPr>
                <w:rFonts w:cstheme="minorHAnsi"/>
                <w:bCs/>
                <w:sz w:val="20"/>
                <w:szCs w:val="20"/>
              </w:rPr>
              <w:t>nted and monitored, and educators</w:t>
            </w:r>
            <w:r w:rsidRPr="005D4D6C">
              <w:rPr>
                <w:rFonts w:cstheme="minorHAnsi"/>
                <w:bCs/>
                <w:sz w:val="20"/>
                <w:szCs w:val="20"/>
              </w:rPr>
              <w:t xml:space="preserve"> receive </w:t>
            </w:r>
            <w:r>
              <w:rPr>
                <w:rFonts w:cstheme="minorHAnsi"/>
                <w:bCs/>
                <w:sz w:val="20"/>
                <w:szCs w:val="20"/>
              </w:rPr>
              <w:t xml:space="preserve">training, </w:t>
            </w:r>
            <w:r w:rsidRPr="005D4D6C">
              <w:rPr>
                <w:rFonts w:cstheme="minorHAnsi"/>
                <w:bCs/>
                <w:sz w:val="20"/>
                <w:szCs w:val="20"/>
              </w:rPr>
              <w:t>support and feedback on the use of the tools (e.g., self-reflection, goal-setting).</w:t>
            </w:r>
          </w:p>
          <w:p w:rsidR="004473A8" w:rsidRPr="005D4D6C" w:rsidRDefault="004473A8" w:rsidP="00B46326">
            <w:pPr>
              <w:rPr>
                <w:rFonts w:cstheme="minorHAnsi"/>
                <w:bCs/>
                <w:sz w:val="20"/>
                <w:szCs w:val="20"/>
              </w:rPr>
            </w:pPr>
          </w:p>
          <w:p w:rsidR="004473A8" w:rsidRPr="005D4D6C" w:rsidRDefault="004473A8" w:rsidP="00062E79">
            <w:pPr>
              <w:rPr>
                <w:rFonts w:cstheme="minorHAnsi"/>
                <w:bCs/>
                <w:sz w:val="20"/>
                <w:szCs w:val="20"/>
              </w:rPr>
            </w:pPr>
            <w:r w:rsidRPr="005D4D6C">
              <w:rPr>
                <w:rFonts w:cstheme="minorHAnsi"/>
                <w:bCs/>
                <w:sz w:val="20"/>
                <w:szCs w:val="20"/>
              </w:rPr>
              <w:t xml:space="preserve">                           </w:t>
            </w:r>
          </w:p>
          <w:p w:rsidR="004473A8" w:rsidRPr="005D4D6C" w:rsidRDefault="004473A8" w:rsidP="00B46326">
            <w:pPr>
              <w:rPr>
                <w:rFonts w:cstheme="minorHAnsi"/>
                <w:sz w:val="20"/>
                <w:szCs w:val="20"/>
              </w:rPr>
            </w:pPr>
          </w:p>
        </w:tc>
        <w:tc>
          <w:tcPr>
            <w:tcW w:w="4320" w:type="dxa"/>
          </w:tcPr>
          <w:p w:rsidR="004473A8" w:rsidRPr="00024E92" w:rsidRDefault="004473A8" w:rsidP="00B46326">
            <w:pPr>
              <w:rPr>
                <w:rFonts w:cstheme="minorHAnsi"/>
                <w:bCs/>
              </w:rPr>
            </w:pPr>
          </w:p>
        </w:tc>
        <w:tc>
          <w:tcPr>
            <w:tcW w:w="3438" w:type="dxa"/>
          </w:tcPr>
          <w:p w:rsidR="004473A8" w:rsidRPr="00024E92" w:rsidRDefault="004473A8" w:rsidP="00B46326">
            <w:pPr>
              <w:rPr>
                <w:rFonts w:cstheme="minorHAnsi"/>
                <w:bCs/>
              </w:rPr>
            </w:pPr>
          </w:p>
        </w:tc>
      </w:tr>
      <w:tr w:rsidR="004473A8" w:rsidRPr="00024E92" w:rsidTr="00937D57">
        <w:trPr>
          <w:trHeight w:val="620"/>
        </w:trPr>
        <w:tc>
          <w:tcPr>
            <w:tcW w:w="1098" w:type="dxa"/>
            <w:vMerge/>
            <w:shd w:val="clear" w:color="auto" w:fill="E5DFEC" w:themeFill="accent4" w:themeFillTint="33"/>
          </w:tcPr>
          <w:p w:rsidR="004473A8" w:rsidRPr="00024E92" w:rsidRDefault="004473A8"/>
        </w:tc>
        <w:tc>
          <w:tcPr>
            <w:tcW w:w="5760" w:type="dxa"/>
          </w:tcPr>
          <w:p w:rsidR="004473A8" w:rsidRDefault="004473A8" w:rsidP="00B46326">
            <w:pPr>
              <w:rPr>
                <w:rFonts w:cstheme="minorHAnsi"/>
                <w:sz w:val="20"/>
                <w:szCs w:val="20"/>
              </w:rPr>
            </w:pPr>
            <w:r w:rsidRPr="005D4D6C">
              <w:rPr>
                <w:rFonts w:cstheme="minorHAnsi"/>
                <w:sz w:val="20"/>
                <w:szCs w:val="20"/>
              </w:rPr>
              <w:t>Student growth data, both state and local, is used to inform educator effectiveness.</w:t>
            </w:r>
          </w:p>
          <w:p w:rsidR="004473A8" w:rsidRDefault="004473A8" w:rsidP="00B46326">
            <w:pPr>
              <w:rPr>
                <w:rFonts w:cstheme="minorHAnsi"/>
                <w:sz w:val="20"/>
                <w:szCs w:val="20"/>
              </w:rPr>
            </w:pPr>
          </w:p>
          <w:p w:rsidR="004473A8" w:rsidRPr="005D4D6C" w:rsidRDefault="004473A8" w:rsidP="00B46326">
            <w:pPr>
              <w:rPr>
                <w:rFonts w:cstheme="minorHAnsi"/>
                <w:sz w:val="20"/>
                <w:szCs w:val="20"/>
              </w:rPr>
            </w:pPr>
          </w:p>
          <w:p w:rsidR="004473A8" w:rsidRPr="005D4D6C" w:rsidRDefault="004473A8" w:rsidP="005D4D6C">
            <w:pPr>
              <w:rPr>
                <w:rFonts w:cstheme="minorHAnsi"/>
                <w:sz w:val="20"/>
                <w:szCs w:val="20"/>
              </w:rPr>
            </w:pPr>
          </w:p>
        </w:tc>
        <w:tc>
          <w:tcPr>
            <w:tcW w:w="4320" w:type="dxa"/>
          </w:tcPr>
          <w:p w:rsidR="004473A8" w:rsidRPr="00024E92" w:rsidRDefault="004473A8" w:rsidP="00B46326">
            <w:pPr>
              <w:rPr>
                <w:rFonts w:cstheme="minorHAnsi"/>
              </w:rPr>
            </w:pPr>
          </w:p>
        </w:tc>
        <w:tc>
          <w:tcPr>
            <w:tcW w:w="3438" w:type="dxa"/>
          </w:tcPr>
          <w:p w:rsidR="004473A8" w:rsidRPr="00024E92" w:rsidRDefault="004473A8" w:rsidP="00B46326">
            <w:pPr>
              <w:rPr>
                <w:rFonts w:cstheme="minorHAnsi"/>
              </w:rPr>
            </w:pPr>
          </w:p>
        </w:tc>
      </w:tr>
      <w:tr w:rsidR="004473A8" w:rsidRPr="00024E92" w:rsidTr="00937D57">
        <w:trPr>
          <w:trHeight w:val="620"/>
        </w:trPr>
        <w:tc>
          <w:tcPr>
            <w:tcW w:w="1098" w:type="dxa"/>
            <w:vMerge/>
            <w:shd w:val="clear" w:color="auto" w:fill="E5DFEC" w:themeFill="accent4" w:themeFillTint="33"/>
          </w:tcPr>
          <w:p w:rsidR="004473A8" w:rsidRPr="00024E92" w:rsidRDefault="004473A8"/>
        </w:tc>
        <w:tc>
          <w:tcPr>
            <w:tcW w:w="5760" w:type="dxa"/>
          </w:tcPr>
          <w:p w:rsidR="004473A8" w:rsidRDefault="004473A8" w:rsidP="003033F0">
            <w:pPr>
              <w:rPr>
                <w:rFonts w:cstheme="minorHAnsi"/>
                <w:sz w:val="20"/>
                <w:szCs w:val="20"/>
              </w:rPr>
            </w:pPr>
            <w:r w:rsidRPr="005D4D6C">
              <w:rPr>
                <w:rFonts w:cstheme="minorHAnsi"/>
                <w:sz w:val="20"/>
                <w:szCs w:val="20"/>
              </w:rPr>
              <w:t>Educators are provided opportunities to provide input to inform the process and system.</w:t>
            </w:r>
          </w:p>
          <w:p w:rsidR="004473A8" w:rsidRDefault="004473A8" w:rsidP="003033F0">
            <w:pPr>
              <w:rPr>
                <w:rFonts w:cstheme="minorHAnsi"/>
                <w:sz w:val="20"/>
                <w:szCs w:val="20"/>
              </w:rPr>
            </w:pPr>
          </w:p>
          <w:p w:rsidR="004473A8" w:rsidRPr="005D4D6C" w:rsidRDefault="004473A8" w:rsidP="003033F0">
            <w:pPr>
              <w:rPr>
                <w:rFonts w:cstheme="minorHAnsi"/>
                <w:sz w:val="20"/>
                <w:szCs w:val="20"/>
              </w:rPr>
            </w:pPr>
          </w:p>
          <w:p w:rsidR="004473A8" w:rsidRPr="005D4D6C" w:rsidRDefault="004473A8" w:rsidP="003033F0">
            <w:pPr>
              <w:rPr>
                <w:rFonts w:cstheme="minorHAnsi"/>
                <w:sz w:val="20"/>
                <w:szCs w:val="20"/>
              </w:rPr>
            </w:pPr>
          </w:p>
        </w:tc>
        <w:tc>
          <w:tcPr>
            <w:tcW w:w="4320" w:type="dxa"/>
          </w:tcPr>
          <w:p w:rsidR="004473A8" w:rsidRDefault="004473A8" w:rsidP="003033F0">
            <w:pPr>
              <w:rPr>
                <w:rFonts w:cstheme="minorHAnsi"/>
              </w:rPr>
            </w:pPr>
          </w:p>
        </w:tc>
        <w:tc>
          <w:tcPr>
            <w:tcW w:w="3438" w:type="dxa"/>
          </w:tcPr>
          <w:p w:rsidR="004473A8" w:rsidRDefault="004473A8" w:rsidP="003033F0">
            <w:pPr>
              <w:rPr>
                <w:rFonts w:cstheme="minorHAnsi"/>
              </w:rPr>
            </w:pPr>
          </w:p>
        </w:tc>
      </w:tr>
      <w:tr w:rsidR="004473A8" w:rsidRPr="00024E92" w:rsidTr="00937D57">
        <w:trPr>
          <w:trHeight w:val="710"/>
        </w:trPr>
        <w:tc>
          <w:tcPr>
            <w:tcW w:w="1098" w:type="dxa"/>
            <w:vMerge/>
            <w:shd w:val="clear" w:color="auto" w:fill="E5DFEC" w:themeFill="accent4" w:themeFillTint="33"/>
          </w:tcPr>
          <w:p w:rsidR="004473A8" w:rsidRPr="00024E92" w:rsidRDefault="004473A8"/>
        </w:tc>
        <w:tc>
          <w:tcPr>
            <w:tcW w:w="5760" w:type="dxa"/>
          </w:tcPr>
          <w:p w:rsidR="004473A8" w:rsidRDefault="004473A8" w:rsidP="00B46326">
            <w:pPr>
              <w:rPr>
                <w:rFonts w:cstheme="minorHAnsi"/>
                <w:sz w:val="20"/>
                <w:szCs w:val="20"/>
              </w:rPr>
            </w:pPr>
            <w:r w:rsidRPr="005D4D6C">
              <w:rPr>
                <w:rFonts w:cstheme="minorHAnsi"/>
                <w:sz w:val="20"/>
                <w:szCs w:val="20"/>
              </w:rPr>
              <w:t>Local student growth data is rigorous and consistent across schools and implemented with fidelity.</w:t>
            </w:r>
          </w:p>
          <w:p w:rsidR="004473A8" w:rsidRDefault="004473A8" w:rsidP="00B46326">
            <w:pPr>
              <w:rPr>
                <w:rFonts w:cstheme="minorHAnsi"/>
                <w:sz w:val="20"/>
                <w:szCs w:val="20"/>
              </w:rPr>
            </w:pPr>
          </w:p>
          <w:p w:rsidR="004473A8" w:rsidRPr="005D4D6C" w:rsidRDefault="004473A8" w:rsidP="00B46326">
            <w:pPr>
              <w:rPr>
                <w:rFonts w:cstheme="minorHAnsi"/>
                <w:sz w:val="20"/>
                <w:szCs w:val="20"/>
              </w:rPr>
            </w:pPr>
          </w:p>
          <w:p w:rsidR="004473A8" w:rsidRPr="005D4D6C" w:rsidRDefault="004473A8" w:rsidP="005D4D6C">
            <w:pPr>
              <w:rPr>
                <w:rFonts w:cstheme="minorHAnsi"/>
                <w:sz w:val="20"/>
                <w:szCs w:val="20"/>
              </w:rPr>
            </w:pPr>
          </w:p>
        </w:tc>
        <w:tc>
          <w:tcPr>
            <w:tcW w:w="4320" w:type="dxa"/>
          </w:tcPr>
          <w:p w:rsidR="004473A8" w:rsidRDefault="004473A8" w:rsidP="00B46326">
            <w:pPr>
              <w:rPr>
                <w:rFonts w:cstheme="minorHAnsi"/>
              </w:rPr>
            </w:pPr>
          </w:p>
        </w:tc>
        <w:tc>
          <w:tcPr>
            <w:tcW w:w="3438" w:type="dxa"/>
          </w:tcPr>
          <w:p w:rsidR="004473A8" w:rsidRDefault="004473A8" w:rsidP="00B46326">
            <w:pPr>
              <w:rPr>
                <w:rFonts w:cstheme="minorHAnsi"/>
              </w:rPr>
            </w:pPr>
          </w:p>
        </w:tc>
      </w:tr>
      <w:tr w:rsidR="004473A8" w:rsidRPr="00024E92" w:rsidTr="00937D57">
        <w:trPr>
          <w:trHeight w:val="782"/>
        </w:trPr>
        <w:tc>
          <w:tcPr>
            <w:tcW w:w="1098" w:type="dxa"/>
            <w:vMerge/>
            <w:shd w:val="clear" w:color="auto" w:fill="E5DFEC" w:themeFill="accent4" w:themeFillTint="33"/>
          </w:tcPr>
          <w:p w:rsidR="004473A8" w:rsidRPr="00024E92" w:rsidRDefault="004473A8"/>
        </w:tc>
        <w:tc>
          <w:tcPr>
            <w:tcW w:w="5760" w:type="dxa"/>
          </w:tcPr>
          <w:p w:rsidR="004473A8" w:rsidRDefault="004473A8" w:rsidP="005D4D6C">
            <w:pPr>
              <w:rPr>
                <w:rFonts w:cstheme="minorHAnsi"/>
                <w:sz w:val="20"/>
                <w:szCs w:val="20"/>
              </w:rPr>
            </w:pPr>
            <w:r w:rsidRPr="005D4D6C">
              <w:rPr>
                <w:rFonts w:cstheme="minorHAnsi"/>
                <w:sz w:val="20"/>
                <w:szCs w:val="20"/>
              </w:rPr>
              <w:t>Professional Growth Plans reflect teachers’ in</w:t>
            </w:r>
            <w:r>
              <w:rPr>
                <w:rFonts w:cstheme="minorHAnsi"/>
                <w:sz w:val="20"/>
                <w:szCs w:val="20"/>
              </w:rPr>
              <w:t>structional goals related to improved student learning and are based on data.</w:t>
            </w:r>
          </w:p>
          <w:p w:rsidR="004473A8" w:rsidRDefault="004473A8" w:rsidP="005D4D6C">
            <w:pPr>
              <w:rPr>
                <w:rFonts w:cstheme="minorHAnsi"/>
                <w:sz w:val="20"/>
                <w:szCs w:val="20"/>
              </w:rPr>
            </w:pPr>
          </w:p>
          <w:p w:rsidR="004473A8" w:rsidRDefault="004473A8" w:rsidP="005D4D6C">
            <w:pPr>
              <w:rPr>
                <w:rFonts w:cstheme="minorHAnsi"/>
                <w:sz w:val="20"/>
                <w:szCs w:val="20"/>
              </w:rPr>
            </w:pPr>
          </w:p>
          <w:p w:rsidR="004473A8" w:rsidRPr="005D4D6C" w:rsidRDefault="004473A8" w:rsidP="005D4D6C">
            <w:pPr>
              <w:rPr>
                <w:rFonts w:cstheme="minorHAnsi"/>
                <w:sz w:val="20"/>
                <w:szCs w:val="20"/>
              </w:rPr>
            </w:pPr>
          </w:p>
        </w:tc>
        <w:tc>
          <w:tcPr>
            <w:tcW w:w="4320" w:type="dxa"/>
          </w:tcPr>
          <w:p w:rsidR="004473A8" w:rsidRPr="00024E92" w:rsidRDefault="004473A8" w:rsidP="00B46326">
            <w:pPr>
              <w:rPr>
                <w:rFonts w:cstheme="minorHAnsi"/>
              </w:rPr>
            </w:pPr>
          </w:p>
        </w:tc>
        <w:tc>
          <w:tcPr>
            <w:tcW w:w="3438" w:type="dxa"/>
          </w:tcPr>
          <w:p w:rsidR="004473A8" w:rsidRPr="00024E92" w:rsidRDefault="004473A8" w:rsidP="00B46326">
            <w:pPr>
              <w:rPr>
                <w:rFonts w:cstheme="minorHAnsi"/>
              </w:rPr>
            </w:pPr>
          </w:p>
        </w:tc>
      </w:tr>
      <w:tr w:rsidR="004473A8" w:rsidRPr="00024E92" w:rsidTr="00937D57">
        <w:trPr>
          <w:trHeight w:val="800"/>
        </w:trPr>
        <w:tc>
          <w:tcPr>
            <w:tcW w:w="1098" w:type="dxa"/>
            <w:vMerge/>
            <w:shd w:val="clear" w:color="auto" w:fill="E5DFEC" w:themeFill="accent4" w:themeFillTint="33"/>
          </w:tcPr>
          <w:p w:rsidR="004473A8" w:rsidRPr="00024E92" w:rsidRDefault="004473A8"/>
        </w:tc>
        <w:tc>
          <w:tcPr>
            <w:tcW w:w="5760" w:type="dxa"/>
          </w:tcPr>
          <w:p w:rsidR="004473A8" w:rsidRDefault="004473A8" w:rsidP="005D4D6C">
            <w:pPr>
              <w:rPr>
                <w:rFonts w:cstheme="minorHAnsi"/>
                <w:sz w:val="20"/>
                <w:szCs w:val="20"/>
              </w:rPr>
            </w:pPr>
            <w:r>
              <w:rPr>
                <w:rFonts w:cstheme="minorHAnsi"/>
                <w:sz w:val="20"/>
                <w:szCs w:val="20"/>
              </w:rPr>
              <w:t>Teachers are offered professional learning opportunities based on their growth plans and feedback from observations and other measures of the effectiveness system.</w:t>
            </w:r>
          </w:p>
          <w:p w:rsidR="004473A8" w:rsidRDefault="004473A8" w:rsidP="005D4D6C">
            <w:pPr>
              <w:rPr>
                <w:rFonts w:cstheme="minorHAnsi"/>
                <w:sz w:val="20"/>
                <w:szCs w:val="20"/>
              </w:rPr>
            </w:pPr>
          </w:p>
          <w:p w:rsidR="004473A8" w:rsidRPr="005D4D6C" w:rsidRDefault="004473A8" w:rsidP="005D4D6C">
            <w:pPr>
              <w:rPr>
                <w:rFonts w:cstheme="minorHAnsi"/>
                <w:sz w:val="20"/>
                <w:szCs w:val="20"/>
              </w:rPr>
            </w:pPr>
          </w:p>
        </w:tc>
        <w:tc>
          <w:tcPr>
            <w:tcW w:w="4320" w:type="dxa"/>
          </w:tcPr>
          <w:p w:rsidR="004473A8" w:rsidRPr="00024E92" w:rsidRDefault="004473A8" w:rsidP="00B46326">
            <w:pPr>
              <w:rPr>
                <w:rFonts w:cstheme="minorHAnsi"/>
              </w:rPr>
            </w:pPr>
          </w:p>
        </w:tc>
        <w:tc>
          <w:tcPr>
            <w:tcW w:w="3438" w:type="dxa"/>
          </w:tcPr>
          <w:p w:rsidR="004473A8" w:rsidRPr="00024E92" w:rsidRDefault="004473A8" w:rsidP="00B46326">
            <w:pPr>
              <w:rPr>
                <w:rFonts w:cstheme="minorHAnsi"/>
              </w:rPr>
            </w:pPr>
          </w:p>
        </w:tc>
      </w:tr>
    </w:tbl>
    <w:p w:rsidR="00D35D2C" w:rsidRDefault="00D35D2C" w:rsidP="00356875"/>
    <w:sectPr w:rsidR="00D35D2C" w:rsidSect="00356875">
      <w:headerReference w:type="default" r:id="rId12"/>
      <w:footerReference w:type="default" r:id="rId13"/>
      <w:pgSz w:w="15840" w:h="12240" w:orient="landscape"/>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F2" w:rsidRDefault="00A424F2" w:rsidP="00AA068C">
      <w:pPr>
        <w:spacing w:after="0" w:line="240" w:lineRule="auto"/>
      </w:pPr>
      <w:r>
        <w:separator/>
      </w:r>
    </w:p>
  </w:endnote>
  <w:endnote w:type="continuationSeparator" w:id="0">
    <w:p w:rsidR="00A424F2" w:rsidRDefault="00A424F2" w:rsidP="00AA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E5" w:rsidRDefault="006639E5">
    <w:pPr>
      <w:pStyle w:val="Footer"/>
    </w:pPr>
    <w:r>
      <w:rPr>
        <w:noProof/>
      </w:rPr>
      <w:drawing>
        <wp:inline distT="0" distB="0" distL="0" distR="0" wp14:anchorId="32F6C87F" wp14:editId="40768F98">
          <wp:extent cx="685800" cy="77555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D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95" cy="774415"/>
                  </a:xfrm>
                  <a:prstGeom prst="rect">
                    <a:avLst/>
                  </a:prstGeom>
                </pic:spPr>
              </pic:pic>
            </a:graphicData>
          </a:graphic>
        </wp:inline>
      </w:drawing>
    </w:r>
    <w:r>
      <w:ptab w:relativeTo="margin" w:alignment="center" w:leader="none"/>
    </w:r>
    <w:r w:rsidRPr="008B26B1">
      <w:rPr>
        <w:rFonts w:asciiTheme="majorHAnsi" w:hAnsiTheme="majorHAnsi"/>
        <w:b/>
        <w:i/>
      </w:rPr>
      <w:t>Kentucky Department of Education</w:t>
    </w:r>
    <w:r w:rsidRPr="008B26B1">
      <w:rPr>
        <w:rFonts w:asciiTheme="majorHAnsi" w:hAnsiTheme="majorHAnsi"/>
        <w:b/>
        <w:i/>
      </w:rPr>
      <w:ptab w:relativeTo="margin" w:alignment="right" w:leader="none"/>
    </w:r>
    <w:r>
      <w:rPr>
        <w:noProof/>
      </w:rPr>
      <w:drawing>
        <wp:inline distT="0" distB="0" distL="0" distR="0" wp14:anchorId="1F6FA3CC" wp14:editId="18EB79F7">
          <wp:extent cx="139500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ridledLearning_300x127.jpg"/>
                  <pic:cNvPicPr/>
                </pic:nvPicPr>
                <pic:blipFill>
                  <a:blip r:embed="rId2">
                    <a:extLst>
                      <a:ext uri="{28A0092B-C50C-407E-A947-70E740481C1C}">
                        <a14:useLocalDpi xmlns:a14="http://schemas.microsoft.com/office/drawing/2010/main" val="0"/>
                      </a:ext>
                    </a:extLst>
                  </a:blip>
                  <a:stretch>
                    <a:fillRect/>
                  </a:stretch>
                </pic:blipFill>
                <pic:spPr>
                  <a:xfrm>
                    <a:off x="0" y="0"/>
                    <a:ext cx="1397751" cy="5917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F2" w:rsidRDefault="00A424F2" w:rsidP="00AA068C">
      <w:pPr>
        <w:spacing w:after="0" w:line="240" w:lineRule="auto"/>
      </w:pPr>
      <w:r>
        <w:separator/>
      </w:r>
    </w:p>
  </w:footnote>
  <w:footnote w:type="continuationSeparator" w:id="0">
    <w:p w:rsidR="00A424F2" w:rsidRDefault="00A424F2" w:rsidP="00AA0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alias w:val="Title"/>
      <w:id w:val="1081031057"/>
      <w:placeholder>
        <w:docPart w:val="644D61453A1E44B09C434211E63D665C"/>
      </w:placeholder>
      <w:dataBinding w:prefixMappings="xmlns:ns0='http://schemas.openxmlformats.org/package/2006/metadata/core-properties' xmlns:ns1='http://purl.org/dc/elements/1.1/'" w:xpath="/ns0:coreProperties[1]/ns1:title[1]" w:storeItemID="{6C3C8BC8-F283-45AE-878A-BAB7291924A1}"/>
      <w:text/>
    </w:sdtPr>
    <w:sdtEndPr/>
    <w:sdtContent>
      <w:p w:rsidR="006639E5" w:rsidRPr="00782E95" w:rsidRDefault="004473A8">
        <w:pPr>
          <w:pStyle w:val="Header"/>
          <w:pBdr>
            <w:between w:val="single" w:sz="4" w:space="1" w:color="4F81BD" w:themeColor="accent1"/>
          </w:pBdr>
          <w:spacing w:line="276" w:lineRule="auto"/>
          <w:jc w:val="center"/>
          <w:rPr>
            <w:sz w:val="28"/>
            <w:szCs w:val="28"/>
          </w:rPr>
        </w:pPr>
        <w:r>
          <w:rPr>
            <w:b/>
            <w:sz w:val="28"/>
            <w:szCs w:val="28"/>
          </w:rPr>
          <w:t xml:space="preserve">MDC </w:t>
        </w:r>
        <w:r w:rsidR="006639E5">
          <w:rPr>
            <w:b/>
            <w:sz w:val="28"/>
            <w:szCs w:val="28"/>
          </w:rPr>
          <w:t>Integration Scaling Plan-Reflection</w:t>
        </w:r>
        <w:r>
          <w:rPr>
            <w:b/>
            <w:sz w:val="28"/>
            <w:szCs w:val="28"/>
          </w:rPr>
          <w:t xml:space="preserve"> Mid-Year Check Dec 2013</w:t>
        </w:r>
      </w:p>
    </w:sdtContent>
  </w:sdt>
  <w:sdt>
    <w:sdtPr>
      <w:alias w:val="Date"/>
      <w:id w:val="-1220273082"/>
      <w:placeholder>
        <w:docPart w:val="F1A1C0A23D5E447FB538674DBF15AC8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6639E5" w:rsidRDefault="006639E5">
        <w:pPr>
          <w:pStyle w:val="Header"/>
          <w:pBdr>
            <w:between w:val="single" w:sz="4" w:space="1" w:color="4F81BD" w:themeColor="accent1"/>
          </w:pBdr>
          <w:spacing w:line="276" w:lineRule="auto"/>
          <w:jc w:val="center"/>
        </w:pPr>
        <w:r>
          <w:t>2013-14</w:t>
        </w:r>
        <w:r w:rsidR="00187F68">
          <w:t xml:space="preserve">           District Name_______________________</w:t>
        </w:r>
      </w:p>
    </w:sdtContent>
  </w:sdt>
  <w:p w:rsidR="006639E5" w:rsidRDefault="00663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12"/>
    <w:rsid w:val="00024E92"/>
    <w:rsid w:val="00062E79"/>
    <w:rsid w:val="000E4F29"/>
    <w:rsid w:val="001127AA"/>
    <w:rsid w:val="0011425B"/>
    <w:rsid w:val="00146201"/>
    <w:rsid w:val="00181FB5"/>
    <w:rsid w:val="00187F68"/>
    <w:rsid w:val="001B7718"/>
    <w:rsid w:val="00200BD4"/>
    <w:rsid w:val="002776AC"/>
    <w:rsid w:val="003033F0"/>
    <w:rsid w:val="00324910"/>
    <w:rsid w:val="00337D12"/>
    <w:rsid w:val="00356875"/>
    <w:rsid w:val="0037117B"/>
    <w:rsid w:val="00395DF3"/>
    <w:rsid w:val="003C586D"/>
    <w:rsid w:val="003F3E6D"/>
    <w:rsid w:val="00426347"/>
    <w:rsid w:val="004473A8"/>
    <w:rsid w:val="004902FB"/>
    <w:rsid w:val="004C1649"/>
    <w:rsid w:val="005703B9"/>
    <w:rsid w:val="00590F0A"/>
    <w:rsid w:val="005D4D6C"/>
    <w:rsid w:val="006639E5"/>
    <w:rsid w:val="006A2018"/>
    <w:rsid w:val="006F6731"/>
    <w:rsid w:val="00734062"/>
    <w:rsid w:val="00782E95"/>
    <w:rsid w:val="007953EA"/>
    <w:rsid w:val="007C3CBB"/>
    <w:rsid w:val="007D21DE"/>
    <w:rsid w:val="00826D60"/>
    <w:rsid w:val="008B26B1"/>
    <w:rsid w:val="009055DE"/>
    <w:rsid w:val="00925900"/>
    <w:rsid w:val="00937D57"/>
    <w:rsid w:val="00A424F2"/>
    <w:rsid w:val="00A63C32"/>
    <w:rsid w:val="00A75FF6"/>
    <w:rsid w:val="00AA068C"/>
    <w:rsid w:val="00B031DA"/>
    <w:rsid w:val="00B46326"/>
    <w:rsid w:val="00C337A8"/>
    <w:rsid w:val="00C468F9"/>
    <w:rsid w:val="00C742BE"/>
    <w:rsid w:val="00CC7AB5"/>
    <w:rsid w:val="00CD6402"/>
    <w:rsid w:val="00D35D2C"/>
    <w:rsid w:val="00D35E14"/>
    <w:rsid w:val="00DB587B"/>
    <w:rsid w:val="00DD771F"/>
    <w:rsid w:val="00E306FB"/>
    <w:rsid w:val="00E673A2"/>
    <w:rsid w:val="00E7557D"/>
    <w:rsid w:val="00ED757E"/>
    <w:rsid w:val="00F2269E"/>
    <w:rsid w:val="00FC09CC"/>
    <w:rsid w:val="00FC18AF"/>
    <w:rsid w:val="00FE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7D12"/>
    <w:rPr>
      <w:sz w:val="16"/>
      <w:szCs w:val="16"/>
    </w:rPr>
  </w:style>
  <w:style w:type="paragraph" w:styleId="CommentText">
    <w:name w:val="annotation text"/>
    <w:basedOn w:val="Normal"/>
    <w:link w:val="CommentTextChar"/>
    <w:uiPriority w:val="99"/>
    <w:semiHidden/>
    <w:unhideWhenUsed/>
    <w:rsid w:val="00337D12"/>
    <w:pPr>
      <w:spacing w:line="240" w:lineRule="auto"/>
    </w:pPr>
    <w:rPr>
      <w:sz w:val="20"/>
      <w:szCs w:val="20"/>
    </w:rPr>
  </w:style>
  <w:style w:type="character" w:customStyle="1" w:styleId="CommentTextChar">
    <w:name w:val="Comment Text Char"/>
    <w:basedOn w:val="DefaultParagraphFont"/>
    <w:link w:val="CommentText"/>
    <w:uiPriority w:val="99"/>
    <w:semiHidden/>
    <w:rsid w:val="00337D12"/>
    <w:rPr>
      <w:sz w:val="20"/>
      <w:szCs w:val="20"/>
    </w:rPr>
  </w:style>
  <w:style w:type="paragraph" w:styleId="BalloonText">
    <w:name w:val="Balloon Text"/>
    <w:basedOn w:val="Normal"/>
    <w:link w:val="BalloonTextChar"/>
    <w:uiPriority w:val="99"/>
    <w:semiHidden/>
    <w:unhideWhenUsed/>
    <w:rsid w:val="0033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12"/>
    <w:rPr>
      <w:rFonts w:ascii="Tahoma" w:hAnsi="Tahoma" w:cs="Tahoma"/>
      <w:sz w:val="16"/>
      <w:szCs w:val="16"/>
    </w:rPr>
  </w:style>
  <w:style w:type="paragraph" w:styleId="Header">
    <w:name w:val="header"/>
    <w:basedOn w:val="Normal"/>
    <w:link w:val="HeaderChar"/>
    <w:uiPriority w:val="99"/>
    <w:unhideWhenUsed/>
    <w:rsid w:val="00AA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8C"/>
  </w:style>
  <w:style w:type="paragraph" w:styleId="Footer">
    <w:name w:val="footer"/>
    <w:basedOn w:val="Normal"/>
    <w:link w:val="FooterChar"/>
    <w:uiPriority w:val="99"/>
    <w:unhideWhenUsed/>
    <w:rsid w:val="00AA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8C"/>
  </w:style>
  <w:style w:type="paragraph" w:styleId="NoSpacing">
    <w:name w:val="No Spacing"/>
    <w:link w:val="NoSpacingChar"/>
    <w:uiPriority w:val="1"/>
    <w:qFormat/>
    <w:rsid w:val="00AA06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68C"/>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6A2018"/>
    <w:rPr>
      <w:b/>
      <w:bCs/>
    </w:rPr>
  </w:style>
  <w:style w:type="character" w:customStyle="1" w:styleId="CommentSubjectChar">
    <w:name w:val="Comment Subject Char"/>
    <w:basedOn w:val="CommentTextChar"/>
    <w:link w:val="CommentSubject"/>
    <w:uiPriority w:val="99"/>
    <w:semiHidden/>
    <w:rsid w:val="006A20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7D12"/>
    <w:rPr>
      <w:sz w:val="16"/>
      <w:szCs w:val="16"/>
    </w:rPr>
  </w:style>
  <w:style w:type="paragraph" w:styleId="CommentText">
    <w:name w:val="annotation text"/>
    <w:basedOn w:val="Normal"/>
    <w:link w:val="CommentTextChar"/>
    <w:uiPriority w:val="99"/>
    <w:semiHidden/>
    <w:unhideWhenUsed/>
    <w:rsid w:val="00337D12"/>
    <w:pPr>
      <w:spacing w:line="240" w:lineRule="auto"/>
    </w:pPr>
    <w:rPr>
      <w:sz w:val="20"/>
      <w:szCs w:val="20"/>
    </w:rPr>
  </w:style>
  <w:style w:type="character" w:customStyle="1" w:styleId="CommentTextChar">
    <w:name w:val="Comment Text Char"/>
    <w:basedOn w:val="DefaultParagraphFont"/>
    <w:link w:val="CommentText"/>
    <w:uiPriority w:val="99"/>
    <w:semiHidden/>
    <w:rsid w:val="00337D12"/>
    <w:rPr>
      <w:sz w:val="20"/>
      <w:szCs w:val="20"/>
    </w:rPr>
  </w:style>
  <w:style w:type="paragraph" w:styleId="BalloonText">
    <w:name w:val="Balloon Text"/>
    <w:basedOn w:val="Normal"/>
    <w:link w:val="BalloonTextChar"/>
    <w:uiPriority w:val="99"/>
    <w:semiHidden/>
    <w:unhideWhenUsed/>
    <w:rsid w:val="0033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12"/>
    <w:rPr>
      <w:rFonts w:ascii="Tahoma" w:hAnsi="Tahoma" w:cs="Tahoma"/>
      <w:sz w:val="16"/>
      <w:szCs w:val="16"/>
    </w:rPr>
  </w:style>
  <w:style w:type="paragraph" w:styleId="Header">
    <w:name w:val="header"/>
    <w:basedOn w:val="Normal"/>
    <w:link w:val="HeaderChar"/>
    <w:uiPriority w:val="99"/>
    <w:unhideWhenUsed/>
    <w:rsid w:val="00AA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8C"/>
  </w:style>
  <w:style w:type="paragraph" w:styleId="Footer">
    <w:name w:val="footer"/>
    <w:basedOn w:val="Normal"/>
    <w:link w:val="FooterChar"/>
    <w:uiPriority w:val="99"/>
    <w:unhideWhenUsed/>
    <w:rsid w:val="00AA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8C"/>
  </w:style>
  <w:style w:type="paragraph" w:styleId="NoSpacing">
    <w:name w:val="No Spacing"/>
    <w:link w:val="NoSpacingChar"/>
    <w:uiPriority w:val="1"/>
    <w:qFormat/>
    <w:rsid w:val="00AA06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A068C"/>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6A2018"/>
    <w:rPr>
      <w:b/>
      <w:bCs/>
    </w:rPr>
  </w:style>
  <w:style w:type="character" w:customStyle="1" w:styleId="CommentSubjectChar">
    <w:name w:val="Comment Subject Char"/>
    <w:basedOn w:val="CommentTextChar"/>
    <w:link w:val="CommentSubject"/>
    <w:uiPriority w:val="99"/>
    <w:semiHidden/>
    <w:rsid w:val="006A2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4D61453A1E44B09C434211E63D665C"/>
        <w:category>
          <w:name w:val="General"/>
          <w:gallery w:val="placeholder"/>
        </w:category>
        <w:types>
          <w:type w:val="bbPlcHdr"/>
        </w:types>
        <w:behaviors>
          <w:behavior w:val="content"/>
        </w:behaviors>
        <w:guid w:val="{6339691F-ABE7-4AEC-9937-C54A4208B58D}"/>
      </w:docPartPr>
      <w:docPartBody>
        <w:p w:rsidR="00457458" w:rsidRDefault="00AA01F1" w:rsidP="00AA01F1">
          <w:pPr>
            <w:pStyle w:val="644D61453A1E44B09C434211E63D665C"/>
          </w:pPr>
          <w:r>
            <w:t>[Type the document title]</w:t>
          </w:r>
        </w:p>
      </w:docPartBody>
    </w:docPart>
    <w:docPart>
      <w:docPartPr>
        <w:name w:val="F1A1C0A23D5E447FB538674DBF15AC8D"/>
        <w:category>
          <w:name w:val="General"/>
          <w:gallery w:val="placeholder"/>
        </w:category>
        <w:types>
          <w:type w:val="bbPlcHdr"/>
        </w:types>
        <w:behaviors>
          <w:behavior w:val="content"/>
        </w:behaviors>
        <w:guid w:val="{B798D79C-0DD6-448B-AA3C-C3B135D41450}"/>
      </w:docPartPr>
      <w:docPartBody>
        <w:p w:rsidR="00457458" w:rsidRDefault="00AA01F1" w:rsidP="00AA01F1">
          <w:pPr>
            <w:pStyle w:val="F1A1C0A23D5E447FB538674DBF15AC8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A01F1"/>
    <w:rsid w:val="002B0376"/>
    <w:rsid w:val="00376145"/>
    <w:rsid w:val="00457458"/>
    <w:rsid w:val="008821CB"/>
    <w:rsid w:val="008E32FC"/>
    <w:rsid w:val="00914B82"/>
    <w:rsid w:val="00A56086"/>
    <w:rsid w:val="00AA01F1"/>
    <w:rsid w:val="00D63934"/>
    <w:rsid w:val="00E25980"/>
    <w:rsid w:val="00F142D1"/>
    <w:rsid w:val="00F3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D61453A1E44B09C434211E63D665C">
    <w:name w:val="644D61453A1E44B09C434211E63D665C"/>
    <w:rsid w:val="00AA01F1"/>
  </w:style>
  <w:style w:type="paragraph" w:customStyle="1" w:styleId="F1A1C0A23D5E447FB538674DBF15AC8D">
    <w:name w:val="F1A1C0A23D5E447FB538674DBF15AC8D"/>
    <w:rsid w:val="00AA01F1"/>
  </w:style>
  <w:style w:type="paragraph" w:customStyle="1" w:styleId="7C7575F5ABA84E6B9616332826538CAE">
    <w:name w:val="7C7575F5ABA84E6B9616332826538CAE"/>
    <w:rsid w:val="00AA01F1"/>
  </w:style>
  <w:style w:type="paragraph" w:customStyle="1" w:styleId="1956B2C506294BA896EC55445C766D69">
    <w:name w:val="1956B2C506294BA896EC55445C766D69"/>
    <w:rsid w:val="00376145"/>
  </w:style>
  <w:style w:type="paragraph" w:customStyle="1" w:styleId="01C90DF2CEC74C848CC29C509777A289">
    <w:name w:val="01C90DF2CEC74C848CC29C509777A289"/>
    <w:rsid w:val="003761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2013-14           District Name_______________________</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Monitoring Tool Rev 6-12</RoutingRuleDescription>
    <PublishingExpirationDate xmlns="http://schemas.microsoft.com/sharepoint/v3" xsi:nil="true"/>
    <PublishingStartDate xmlns="http://schemas.microsoft.com/sharepoint/v3" xsi:nil="true"/>
    <Publication_x0020_Date xmlns="3a62de7d-ba57-4f43-9dae-9623ba637be0">2013-04-08T04:00:00+00:00</Publication_x0020_Date>
    <Audience1 xmlns="3a62de7d-ba57-4f43-9dae-9623ba637be0">
      <Value>10</Value>
    </Audience1>
    <_dlc_DocId xmlns="3a62de7d-ba57-4f43-9dae-9623ba637be0">KYED-65-406</_dlc_DocId>
    <_dlc_DocIdUrl xmlns="3a62de7d-ba57-4f43-9dae-9623ba637be0">
      <Url>https://education-edit.ky.gov/curriculum/lit/_layouts/DocIdRedir.aspx?ID=KYED-65-406</Url>
      <Description>KYED-65-406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F9D20AF3A9A7FF46AE59119D6639A341" ma:contentTypeVersion="15" ma:contentTypeDescription="" ma:contentTypeScope="" ma:versionID="f18ce347fc5f968f1e009b0edf8310ad">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f1ba40f36cf66a5304c2ef989ead04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30A97-8187-49DC-89E9-8146C02FC539}">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7F5FE339-705F-4B13-9FC3-202D971A8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1FD91-E467-49FA-9006-F3A495E960C7}">
  <ds:schemaRefs>
    <ds:schemaRef ds:uri="http://schemas.microsoft.com/sharepoint/events"/>
  </ds:schemaRefs>
</ds:datastoreItem>
</file>

<file path=customXml/itemProps5.xml><?xml version="1.0" encoding="utf-8"?>
<ds:datastoreItem xmlns:ds="http://schemas.openxmlformats.org/officeDocument/2006/customXml" ds:itemID="{8C157A16-3CBF-4C8C-B68C-38DE9427E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Integration Scaling Plan-Reflection</vt:lpstr>
    </vt:vector>
  </TitlesOfParts>
  <Company>Kentucky Department of Education</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Integration Scaling Plan-Reflection Mid-Year Check Dec 2013</dc:title>
  <dc:creator>Parker, Cindy - Division of Program Standards</dc:creator>
  <cp:lastModifiedBy>Renee' Yates</cp:lastModifiedBy>
  <cp:revision>2</cp:revision>
  <cp:lastPrinted>2012-04-04T17:26:00Z</cp:lastPrinted>
  <dcterms:created xsi:type="dcterms:W3CDTF">2013-12-02T15:24:00Z</dcterms:created>
  <dcterms:modified xsi:type="dcterms:W3CDTF">2013-12-02T15:24:00Z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0x0101001BEB557DBE01834EAB47A683706DCD5B00F9D20AF3A9A7FF46AE59119D6639A341</vt:lpwstr>
  </property>
  <property fmtid="{D5CDD505-2E9C-101B-9397-08002B2CF9AE}" pid="3" name="_dlc_DocIdItemGuid">
    <vt:lpwstr>9de4257f-3035-400b-954c-4f84ca91efbe</vt:lpwstr>
  </property>
</Properties>
</file>