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57" w:rsidRPr="00A7679B" w:rsidRDefault="0046532C" w:rsidP="0046532C">
      <w:pPr>
        <w:jc w:val="center"/>
        <w:rPr>
          <w:sz w:val="96"/>
        </w:rPr>
      </w:pPr>
      <w:bookmarkStart w:id="0" w:name="_GoBack"/>
      <w:bookmarkEnd w:id="0"/>
      <w:r w:rsidRPr="00A7679B">
        <w:rPr>
          <w:sz w:val="96"/>
        </w:rPr>
        <w:t>MDC and Baseline Data</w:t>
      </w:r>
    </w:p>
    <w:p w:rsidR="00663B01" w:rsidRDefault="00A7679B" w:rsidP="00663B01">
      <w:pPr>
        <w:jc w:val="center"/>
        <w:rPr>
          <w:sz w:val="48"/>
        </w:rPr>
      </w:pPr>
      <w:r>
        <w:rPr>
          <w:noProof/>
        </w:rPr>
        <mc:AlternateContent>
          <mc:Choice Requires="wps">
            <w:drawing>
              <wp:anchor distT="0" distB="0" distL="114300" distR="114300" simplePos="0" relativeHeight="251659264" behindDoc="0" locked="0" layoutInCell="1" allowOverlap="1" wp14:anchorId="5237C4E6" wp14:editId="40897B5B">
                <wp:simplePos x="0" y="0"/>
                <wp:positionH relativeFrom="column">
                  <wp:posOffset>-221615</wp:posOffset>
                </wp:positionH>
                <wp:positionV relativeFrom="paragraph">
                  <wp:posOffset>173990</wp:posOffset>
                </wp:positionV>
                <wp:extent cx="2393950" cy="1240155"/>
                <wp:effectExtent l="0" t="152400" r="0" b="150495"/>
                <wp:wrapNone/>
                <wp:docPr id="4" name="Oval 4"/>
                <wp:cNvGraphicFramePr/>
                <a:graphic xmlns:a="http://schemas.openxmlformats.org/drawingml/2006/main">
                  <a:graphicData uri="http://schemas.microsoft.com/office/word/2010/wordprocessingShape">
                    <wps:wsp>
                      <wps:cNvSpPr/>
                      <wps:spPr>
                        <a:xfrm rot="20196629">
                          <a:off x="0" y="0"/>
                          <a:ext cx="2393950" cy="12401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6F1A" w:rsidRPr="00A7679B" w:rsidRDefault="008C6F1A" w:rsidP="00A7679B">
                            <w:pPr>
                              <w:jc w:val="center"/>
                              <w:rPr>
                                <w:i/>
                                <w:sz w:val="28"/>
                              </w:rPr>
                            </w:pPr>
                            <w:r w:rsidRPr="00A7679B">
                              <w:rPr>
                                <w:i/>
                                <w:sz w:val="28"/>
                              </w:rPr>
                              <w:t>“I will pause for a moment to let the information sink in.”</w:t>
                            </w:r>
                          </w:p>
                          <w:p w:rsidR="008C6F1A" w:rsidRDefault="008C6F1A" w:rsidP="00A76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left:0;text-align:left;margin-left:-17.45pt;margin-top:13.7pt;width:188.5pt;height:97.65pt;rotation:-1532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" fillcolor="#4f81bd [3204]" strokecolor="#243f60 [1604]" strokeweight="2pt">
                <v:textbox>
                  <w:txbxContent>
                    <w:p w:rsidR="008C6F1A" w:rsidRPr="00A7679B" w:rsidRDefault="008C6F1A" w:rsidP="00A7679B">
                      <w:pPr>
                        <w:jc w:val="center"/>
                        <w:rPr>
                          <w:i/>
                          <w:sz w:val="28"/>
                        </w:rPr>
                      </w:pPr>
                      <w:r w:rsidRPr="00A7679B">
                        <w:rPr>
                          <w:i/>
                          <w:sz w:val="28"/>
                        </w:rPr>
                        <w:t>“I will pause for a moment to let the information sink in.”</w:t>
                      </w:r>
                    </w:p>
                    <w:p w:rsidR="008C6F1A" w:rsidRDefault="008C6F1A" w:rsidP="00A7679B">
                      <w:pPr>
                        <w:jc w:val="center"/>
                      </w:pP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08321067" wp14:editId="03ABFE96">
                <wp:simplePos x="0" y="0"/>
                <wp:positionH relativeFrom="column">
                  <wp:posOffset>4617085</wp:posOffset>
                </wp:positionH>
                <wp:positionV relativeFrom="paragraph">
                  <wp:posOffset>160019</wp:posOffset>
                </wp:positionV>
                <wp:extent cx="2263775" cy="788035"/>
                <wp:effectExtent l="0" t="304800" r="0" b="316865"/>
                <wp:wrapNone/>
                <wp:docPr id="5" name="Oval 5"/>
                <wp:cNvGraphicFramePr/>
                <a:graphic xmlns:a="http://schemas.openxmlformats.org/drawingml/2006/main">
                  <a:graphicData uri="http://schemas.microsoft.com/office/word/2010/wordprocessingShape">
                    <wps:wsp>
                      <wps:cNvSpPr/>
                      <wps:spPr>
                        <a:xfrm rot="1897687">
                          <a:off x="0" y="0"/>
                          <a:ext cx="2263775" cy="7880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6F1A" w:rsidRDefault="008C6F1A" w:rsidP="00A7679B">
                            <w:pPr>
                              <w:jc w:val="center"/>
                            </w:pPr>
                            <w:r w:rsidRPr="00A7679B">
                              <w:rPr>
                                <w:i/>
                                <w:sz w:val="28"/>
                              </w:rPr>
                              <w:t>“</w:t>
                            </w:r>
                            <w:r>
                              <w:rPr>
                                <w:i/>
                                <w:sz w:val="28"/>
                              </w:rPr>
                              <w:t>Hmmm…  Let’s 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363.55pt;margin-top:12.6pt;width:178.25pt;height:62.05pt;rotation:20727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" fillcolor="#4f81bd [3204]" strokecolor="#243f60 [1604]" strokeweight="2pt">
                <v:textbox>
                  <w:txbxContent>
                    <w:p w:rsidR="008C6F1A" w:rsidRDefault="008C6F1A" w:rsidP="00A7679B">
                      <w:pPr>
                        <w:jc w:val="center"/>
                      </w:pPr>
                      <w:r w:rsidRPr="00A7679B">
                        <w:rPr>
                          <w:i/>
                          <w:sz w:val="28"/>
                        </w:rPr>
                        <w:t>“</w:t>
                      </w:r>
                      <w:r>
                        <w:rPr>
                          <w:i/>
                          <w:sz w:val="28"/>
                        </w:rPr>
                        <w:t>Hmmm…  Let’s see…</w:t>
                      </w:r>
                    </w:p>
                  </w:txbxContent>
                </v:textbox>
              </v:oval>
            </w:pict>
          </mc:Fallback>
        </mc:AlternateContent>
      </w:r>
      <w:r w:rsidR="00663B01">
        <w:rPr>
          <w:noProof/>
        </w:rPr>
        <w:drawing>
          <wp:anchor distT="0" distB="0" distL="114300" distR="114300" simplePos="0" relativeHeight="251658240" behindDoc="0" locked="0" layoutInCell="1" allowOverlap="1" wp14:anchorId="7E3174C0" wp14:editId="4A58F7AA">
            <wp:simplePos x="0" y="0"/>
            <wp:positionH relativeFrom="column">
              <wp:posOffset>3048000</wp:posOffset>
            </wp:positionH>
            <wp:positionV relativeFrom="paragraph">
              <wp:posOffset>114300</wp:posOffset>
            </wp:positionV>
            <wp:extent cx="2846070" cy="2736850"/>
            <wp:effectExtent l="228600" t="228600" r="259080" b="292100"/>
            <wp:wrapTight wrapText="bothSides">
              <wp:wrapPolygon edited="0">
                <wp:start x="1301" y="-1804"/>
                <wp:lineTo x="-1735" y="-1503"/>
                <wp:lineTo x="-1735" y="21199"/>
                <wp:lineTo x="-1012" y="22552"/>
                <wp:lineTo x="1012" y="23454"/>
                <wp:lineTo x="1157" y="23755"/>
                <wp:lineTo x="20675" y="23755"/>
                <wp:lineTo x="20819" y="23454"/>
                <wp:lineTo x="22843" y="22552"/>
                <wp:lineTo x="23422" y="20297"/>
                <wp:lineTo x="23422" y="451"/>
                <wp:lineTo x="21108" y="-1503"/>
                <wp:lineTo x="20530" y="-1804"/>
                <wp:lineTo x="1301" y="-18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46070" cy="2736850"/>
                    </a:xfrm>
                    <a:prstGeom prst="rect">
                      <a:avLst/>
                    </a:prstGeom>
                    <a:ln w="50800">
                      <a:solidFill>
                        <a:schemeClr val="tx1"/>
                      </a:solidFill>
                    </a:ln>
                    <a:effectLst>
                      <a:outerShdw blurRad="292100" dist="139700" dir="2700000" sx="95000" sy="95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3B01">
        <w:rPr>
          <w:noProof/>
        </w:rPr>
        <w:drawing>
          <wp:anchor distT="0" distB="0" distL="114300" distR="114300" simplePos="0" relativeHeight="251657215" behindDoc="1" locked="0" layoutInCell="1" allowOverlap="1" wp14:anchorId="60F7CB74" wp14:editId="1D451488">
            <wp:simplePos x="0" y="0"/>
            <wp:positionH relativeFrom="column">
              <wp:posOffset>895350</wp:posOffset>
            </wp:positionH>
            <wp:positionV relativeFrom="paragraph">
              <wp:posOffset>488950</wp:posOffset>
            </wp:positionV>
            <wp:extent cx="2352675" cy="2762250"/>
            <wp:effectExtent l="228600" t="228600" r="314325" b="285750"/>
            <wp:wrapTight wrapText="bothSides">
              <wp:wrapPolygon edited="0">
                <wp:start x="1574" y="-1788"/>
                <wp:lineTo x="-2099" y="-1490"/>
                <wp:lineTo x="-2099" y="21153"/>
                <wp:lineTo x="-1399" y="22345"/>
                <wp:lineTo x="1224" y="23388"/>
                <wp:lineTo x="1399" y="23686"/>
                <wp:lineTo x="20813" y="23686"/>
                <wp:lineTo x="20988" y="23388"/>
                <wp:lineTo x="23611" y="22345"/>
                <wp:lineTo x="24311" y="20110"/>
                <wp:lineTo x="24311" y="447"/>
                <wp:lineTo x="21513" y="-1490"/>
                <wp:lineTo x="20638" y="-1788"/>
                <wp:lineTo x="1574" y="-17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9179" r="7339"/>
                    <a:stretch/>
                  </pic:blipFill>
                  <pic:spPr bwMode="auto">
                    <a:xfrm>
                      <a:off x="0" y="0"/>
                      <a:ext cx="2352675" cy="2762250"/>
                    </a:xfrm>
                    <a:prstGeom prst="rect">
                      <a:avLst/>
                    </a:prstGeom>
                    <a:ln w="50800">
                      <a:solidFill>
                        <a:schemeClr val="tx1"/>
                      </a:solidFill>
                    </a:ln>
                    <a:effectLst>
                      <a:outerShdw blurRad="292100" dist="139700" dir="2700000" sx="95000" sy="95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3B01" w:rsidRDefault="00663B01" w:rsidP="004A410A">
      <w:pPr>
        <w:rPr>
          <w:sz w:val="48"/>
        </w:rPr>
      </w:pPr>
    </w:p>
    <w:p w:rsidR="00663B01" w:rsidRDefault="00663B01" w:rsidP="004A410A">
      <w:pPr>
        <w:rPr>
          <w:sz w:val="48"/>
        </w:rPr>
      </w:pPr>
    </w:p>
    <w:p w:rsidR="00663B01" w:rsidRDefault="00663B01" w:rsidP="004A410A">
      <w:pPr>
        <w:rPr>
          <w:sz w:val="48"/>
        </w:rPr>
      </w:pPr>
    </w:p>
    <w:p w:rsidR="00663B01" w:rsidRDefault="00663B01" w:rsidP="004A410A">
      <w:pPr>
        <w:rPr>
          <w:sz w:val="48"/>
        </w:rPr>
      </w:pPr>
    </w:p>
    <w:p w:rsidR="00663B01" w:rsidRDefault="00663B01" w:rsidP="004A410A">
      <w:pPr>
        <w:rPr>
          <w:sz w:val="48"/>
        </w:rPr>
      </w:pPr>
    </w:p>
    <w:p w:rsidR="00663B01" w:rsidRPr="00663B01" w:rsidRDefault="00663B01" w:rsidP="004A410A">
      <w:pPr>
        <w:rPr>
          <w:sz w:val="12"/>
        </w:rPr>
      </w:pPr>
    </w:p>
    <w:p w:rsidR="004A410A" w:rsidRPr="00841374" w:rsidRDefault="004A410A" w:rsidP="004A410A">
      <w:pPr>
        <w:rPr>
          <w:sz w:val="40"/>
        </w:rPr>
      </w:pPr>
      <w:r w:rsidRPr="00841374">
        <w:rPr>
          <w:sz w:val="40"/>
        </w:rPr>
        <w:t>Q:  Where can we get baseline data?  What are possible data sources?</w:t>
      </w:r>
    </w:p>
    <w:p w:rsidR="001B7BE0" w:rsidRPr="00841374" w:rsidRDefault="001B7BE0" w:rsidP="00497E8E">
      <w:pPr>
        <w:pStyle w:val="NoSpacing"/>
        <w:numPr>
          <w:ilvl w:val="0"/>
          <w:numId w:val="4"/>
        </w:numPr>
        <w:rPr>
          <w:sz w:val="28"/>
        </w:rPr>
      </w:pPr>
      <w:r w:rsidRPr="00841374">
        <w:rPr>
          <w:sz w:val="28"/>
        </w:rPr>
        <w:t>First -- The Context</w:t>
      </w:r>
      <w:r w:rsidR="00497E8E" w:rsidRPr="00841374">
        <w:rPr>
          <w:sz w:val="28"/>
        </w:rPr>
        <w:t xml:space="preserve"> to establish needs</w:t>
      </w:r>
    </w:p>
    <w:p w:rsidR="001B7BE0" w:rsidRPr="00841374" w:rsidRDefault="001B7BE0" w:rsidP="00497E8E">
      <w:pPr>
        <w:pStyle w:val="NoSpacing"/>
        <w:numPr>
          <w:ilvl w:val="1"/>
          <w:numId w:val="4"/>
        </w:numPr>
        <w:rPr>
          <w:sz w:val="28"/>
        </w:rPr>
      </w:pPr>
      <w:r w:rsidRPr="00841374">
        <w:rPr>
          <w:sz w:val="28"/>
        </w:rPr>
        <w:t>Demographics, Attitude and Aptitude</w:t>
      </w:r>
    </w:p>
    <w:p w:rsidR="001B7BE0" w:rsidRPr="00841374" w:rsidRDefault="001B7BE0" w:rsidP="00497E8E">
      <w:pPr>
        <w:pStyle w:val="NoSpacing"/>
        <w:numPr>
          <w:ilvl w:val="1"/>
          <w:numId w:val="4"/>
        </w:numPr>
        <w:rPr>
          <w:sz w:val="28"/>
        </w:rPr>
      </w:pPr>
      <w:r w:rsidRPr="00841374">
        <w:rPr>
          <w:sz w:val="28"/>
        </w:rPr>
        <w:t>What assessments / tools can be used?</w:t>
      </w:r>
    </w:p>
    <w:p w:rsidR="00497E8E" w:rsidRPr="00841374" w:rsidRDefault="00497E8E" w:rsidP="00497E8E">
      <w:pPr>
        <w:pStyle w:val="NoSpacing"/>
        <w:numPr>
          <w:ilvl w:val="1"/>
          <w:numId w:val="4"/>
        </w:numPr>
        <w:rPr>
          <w:sz w:val="28"/>
        </w:rPr>
      </w:pPr>
      <w:r w:rsidRPr="00841374">
        <w:rPr>
          <w:sz w:val="28"/>
        </w:rPr>
        <w:t>Where can we find them?</w:t>
      </w:r>
    </w:p>
    <w:p w:rsidR="00497E8E" w:rsidRPr="00841374" w:rsidRDefault="00497E8E" w:rsidP="00497E8E">
      <w:pPr>
        <w:pStyle w:val="NoSpacing"/>
        <w:numPr>
          <w:ilvl w:val="1"/>
          <w:numId w:val="4"/>
        </w:numPr>
        <w:rPr>
          <w:sz w:val="28"/>
        </w:rPr>
      </w:pPr>
      <w:r w:rsidRPr="00841374">
        <w:rPr>
          <w:sz w:val="28"/>
        </w:rPr>
        <w:t>Can we create them?</w:t>
      </w:r>
    </w:p>
    <w:p w:rsidR="00497E8E" w:rsidRPr="00841374" w:rsidRDefault="00497E8E" w:rsidP="00497E8E">
      <w:pPr>
        <w:pStyle w:val="NoSpacing"/>
        <w:ind w:left="1440"/>
        <w:rPr>
          <w:sz w:val="12"/>
        </w:rPr>
      </w:pPr>
    </w:p>
    <w:p w:rsidR="00497E8E" w:rsidRPr="00841374" w:rsidRDefault="001B7BE0" w:rsidP="00497E8E">
      <w:pPr>
        <w:pStyle w:val="NoSpacing"/>
        <w:numPr>
          <w:ilvl w:val="0"/>
          <w:numId w:val="4"/>
        </w:numPr>
        <w:rPr>
          <w:sz w:val="28"/>
        </w:rPr>
      </w:pPr>
      <w:r w:rsidRPr="00841374">
        <w:rPr>
          <w:sz w:val="28"/>
        </w:rPr>
        <w:t>Match th</w:t>
      </w:r>
      <w:r w:rsidR="00497E8E" w:rsidRPr="00841374">
        <w:rPr>
          <w:sz w:val="28"/>
        </w:rPr>
        <w:t xml:space="preserve">e need </w:t>
      </w:r>
      <w:r w:rsidRPr="00841374">
        <w:rPr>
          <w:sz w:val="28"/>
        </w:rPr>
        <w:t>with the Enduring Skills / Understandings</w:t>
      </w:r>
    </w:p>
    <w:p w:rsidR="001B7BE0" w:rsidRPr="00841374" w:rsidRDefault="001B7BE0" w:rsidP="00497E8E">
      <w:pPr>
        <w:pStyle w:val="NoSpacing"/>
        <w:ind w:left="720"/>
        <w:rPr>
          <w:sz w:val="8"/>
        </w:rPr>
      </w:pPr>
      <w:r w:rsidRPr="00841374">
        <w:rPr>
          <w:sz w:val="28"/>
        </w:rPr>
        <w:t xml:space="preserve"> </w:t>
      </w:r>
    </w:p>
    <w:p w:rsidR="001B7BE0" w:rsidRPr="00841374" w:rsidRDefault="001B7BE0" w:rsidP="00497E8E">
      <w:pPr>
        <w:pStyle w:val="NoSpacing"/>
        <w:numPr>
          <w:ilvl w:val="0"/>
          <w:numId w:val="4"/>
        </w:numPr>
        <w:rPr>
          <w:sz w:val="28"/>
        </w:rPr>
      </w:pPr>
      <w:r w:rsidRPr="00841374">
        <w:rPr>
          <w:sz w:val="28"/>
        </w:rPr>
        <w:t>Consider “Proportional Reasoning”</w:t>
      </w:r>
      <w:r w:rsidR="00497E8E" w:rsidRPr="00841374">
        <w:rPr>
          <w:sz w:val="28"/>
        </w:rPr>
        <w:t xml:space="preserve"> for a fictional 7th grade class.</w:t>
      </w:r>
    </w:p>
    <w:p w:rsidR="00497E8E" w:rsidRPr="00841374" w:rsidRDefault="00497E8E" w:rsidP="00497E8E">
      <w:pPr>
        <w:pStyle w:val="NoSpacing"/>
        <w:rPr>
          <w:sz w:val="10"/>
        </w:rPr>
      </w:pPr>
    </w:p>
    <w:p w:rsidR="00497E8E" w:rsidRPr="00841374" w:rsidRDefault="00DB3D6E" w:rsidP="00497E8E">
      <w:pPr>
        <w:pStyle w:val="NoSpacing"/>
        <w:numPr>
          <w:ilvl w:val="0"/>
          <w:numId w:val="4"/>
        </w:numPr>
        <w:rPr>
          <w:sz w:val="28"/>
        </w:rPr>
      </w:pPr>
      <w:r w:rsidRPr="00841374">
        <w:rPr>
          <w:sz w:val="28"/>
        </w:rPr>
        <w:t>What are some sources of baseline data?</w:t>
      </w:r>
    </w:p>
    <w:p w:rsidR="00497E8E" w:rsidRPr="00841374" w:rsidRDefault="00497E8E" w:rsidP="004A410A">
      <w:pPr>
        <w:pStyle w:val="NoSpacing"/>
        <w:numPr>
          <w:ilvl w:val="0"/>
          <w:numId w:val="4"/>
        </w:numPr>
        <w:rPr>
          <w:sz w:val="28"/>
        </w:rPr>
      </w:pPr>
      <w:r w:rsidRPr="00841374">
        <w:rPr>
          <w:sz w:val="28"/>
        </w:rPr>
        <w:t>Practice problem</w:t>
      </w:r>
      <w:r w:rsidR="004A410A" w:rsidRPr="00841374">
        <w:rPr>
          <w:sz w:val="28"/>
        </w:rPr>
        <w:t xml:space="preserve">  </w:t>
      </w:r>
      <w:r w:rsidR="004A410A" w:rsidRPr="00841374">
        <w:rPr>
          <w:sz w:val="32"/>
        </w:rPr>
        <w:t xml:space="preserve">(  </w:t>
      </w:r>
      <w:hyperlink r:id="rId8" w:history="1">
        <w:r w:rsidR="004A410A" w:rsidRPr="00841374">
          <w:rPr>
            <w:rStyle w:val="Hyperlink"/>
            <w:sz w:val="32"/>
          </w:rPr>
          <w:t>http://bit.ly/1mzsnmT</w:t>
        </w:r>
      </w:hyperlink>
      <w:r w:rsidR="004A410A" w:rsidRPr="00841374">
        <w:rPr>
          <w:sz w:val="32"/>
        </w:rPr>
        <w:t xml:space="preserve">  )</w:t>
      </w:r>
    </w:p>
    <w:p w:rsidR="00497E8E" w:rsidRPr="00841374" w:rsidRDefault="00497E8E" w:rsidP="00497E8E">
      <w:pPr>
        <w:pStyle w:val="NoSpacing"/>
        <w:numPr>
          <w:ilvl w:val="1"/>
          <w:numId w:val="4"/>
        </w:numPr>
        <w:rPr>
          <w:sz w:val="28"/>
        </w:rPr>
      </w:pPr>
      <w:r w:rsidRPr="00841374">
        <w:rPr>
          <w:sz w:val="28"/>
        </w:rPr>
        <w:t xml:space="preserve">What can this tell us? </w:t>
      </w:r>
    </w:p>
    <w:p w:rsidR="00497E8E" w:rsidRPr="00841374" w:rsidRDefault="00282B8B" w:rsidP="00497E8E">
      <w:pPr>
        <w:pStyle w:val="NoSpacing"/>
        <w:numPr>
          <w:ilvl w:val="1"/>
          <w:numId w:val="4"/>
        </w:numPr>
        <w:rPr>
          <w:sz w:val="28"/>
        </w:rPr>
      </w:pPr>
      <w:hyperlink w:anchor="_Examine_the_Enduring" w:history="1">
        <w:r w:rsidR="00497E8E" w:rsidRPr="00841374">
          <w:rPr>
            <w:rStyle w:val="Hyperlink"/>
            <w:sz w:val="28"/>
          </w:rPr>
          <w:t>Fill in chart</w:t>
        </w:r>
      </w:hyperlink>
    </w:p>
    <w:p w:rsidR="00497E8E" w:rsidRPr="00841374" w:rsidRDefault="00497E8E" w:rsidP="00497E8E">
      <w:pPr>
        <w:pStyle w:val="NoSpacing"/>
        <w:ind w:left="1440"/>
        <w:rPr>
          <w:sz w:val="12"/>
        </w:rPr>
      </w:pPr>
    </w:p>
    <w:p w:rsidR="00497E8E" w:rsidRPr="00841374" w:rsidRDefault="00497E8E" w:rsidP="00497E8E">
      <w:pPr>
        <w:pStyle w:val="NoSpacing"/>
        <w:numPr>
          <w:ilvl w:val="0"/>
          <w:numId w:val="4"/>
        </w:numPr>
        <w:rPr>
          <w:sz w:val="28"/>
        </w:rPr>
      </w:pPr>
      <w:r w:rsidRPr="00841374">
        <w:rPr>
          <w:sz w:val="28"/>
        </w:rPr>
        <w:t>Where can we find other potential data sources?</w:t>
      </w:r>
    </w:p>
    <w:p w:rsidR="00497E8E" w:rsidRPr="00841374" w:rsidRDefault="00497E8E" w:rsidP="00497E8E">
      <w:pPr>
        <w:pStyle w:val="NoSpacing"/>
        <w:numPr>
          <w:ilvl w:val="1"/>
          <w:numId w:val="4"/>
        </w:numPr>
        <w:rPr>
          <w:sz w:val="28"/>
        </w:rPr>
      </w:pPr>
      <w:r w:rsidRPr="00841374">
        <w:rPr>
          <w:sz w:val="28"/>
        </w:rPr>
        <w:t>Let’s find some.</w:t>
      </w:r>
    </w:p>
    <w:p w:rsidR="00497E8E" w:rsidRPr="00841374" w:rsidRDefault="00497E8E" w:rsidP="00497E8E">
      <w:pPr>
        <w:pStyle w:val="NoSpacing"/>
        <w:ind w:left="1440"/>
        <w:rPr>
          <w:sz w:val="12"/>
        </w:rPr>
      </w:pPr>
    </w:p>
    <w:p w:rsidR="0046532C" w:rsidRPr="00841374" w:rsidRDefault="0046532C" w:rsidP="00497E8E">
      <w:pPr>
        <w:pStyle w:val="NoSpacing"/>
        <w:numPr>
          <w:ilvl w:val="0"/>
          <w:numId w:val="4"/>
        </w:numPr>
        <w:rPr>
          <w:sz w:val="28"/>
        </w:rPr>
      </w:pPr>
      <w:r w:rsidRPr="00841374">
        <w:rPr>
          <w:sz w:val="28"/>
        </w:rPr>
        <w:t>Strengths and limitat</w:t>
      </w:r>
      <w:r w:rsidR="00497E8E" w:rsidRPr="00841374">
        <w:rPr>
          <w:sz w:val="28"/>
        </w:rPr>
        <w:t>ions of various sources of base</w:t>
      </w:r>
      <w:r w:rsidRPr="00841374">
        <w:rPr>
          <w:sz w:val="28"/>
        </w:rPr>
        <w:t xml:space="preserve"> line data</w:t>
      </w:r>
    </w:p>
    <w:p w:rsidR="00BE731E" w:rsidRDefault="00497E8E" w:rsidP="00841374">
      <w:pPr>
        <w:pStyle w:val="NoSpacing"/>
        <w:numPr>
          <w:ilvl w:val="1"/>
          <w:numId w:val="4"/>
        </w:numPr>
      </w:pPr>
      <w:r w:rsidRPr="00841374">
        <w:rPr>
          <w:sz w:val="28"/>
        </w:rPr>
        <w:t>Next Step?</w:t>
      </w:r>
      <w:r w:rsidR="00BE731E">
        <w:br w:type="page"/>
      </w:r>
    </w:p>
    <w:p w:rsidR="00BE731E" w:rsidRPr="004A410A" w:rsidRDefault="00BE731E" w:rsidP="004A410A">
      <w:pPr>
        <w:pStyle w:val="Heading1"/>
        <w:rPr>
          <w:color w:val="auto"/>
        </w:rPr>
      </w:pPr>
      <w:bookmarkStart w:id="1" w:name="_Examine_the_Enduring"/>
      <w:bookmarkEnd w:id="1"/>
      <w:r w:rsidRPr="004A410A">
        <w:rPr>
          <w:color w:val="auto"/>
        </w:rPr>
        <w:lastRenderedPageBreak/>
        <w:t>Examine the Enduring Understanding around Proportional Reasoning – 7</w:t>
      </w:r>
      <w:r w:rsidRPr="004A410A">
        <w:rPr>
          <w:color w:val="auto"/>
          <w:vertAlign w:val="superscript"/>
        </w:rPr>
        <w:t>th</w:t>
      </w:r>
      <w:r w:rsidRPr="004A410A">
        <w:rPr>
          <w:color w:val="auto"/>
        </w:rPr>
        <w:t xml:space="preserve"> grade.</w:t>
      </w:r>
    </w:p>
    <w:p w:rsidR="004A410A" w:rsidRDefault="004A410A" w:rsidP="004A410A">
      <w:pPr>
        <w:pStyle w:val="Heading1"/>
        <w:jc w:val="center"/>
        <w:rPr>
          <w:color w:val="auto"/>
          <w:sz w:val="36"/>
        </w:rPr>
      </w:pPr>
      <w:bookmarkStart w:id="2" w:name="_Lawn_Mowing"/>
      <w:bookmarkEnd w:id="2"/>
      <w:r w:rsidRPr="004A410A">
        <w:rPr>
          <w:color w:val="auto"/>
          <w:sz w:val="36"/>
        </w:rPr>
        <w:t>Lawn Mowing</w:t>
      </w:r>
    </w:p>
    <w:p w:rsidR="00BE731E" w:rsidRDefault="000269DE">
      <w:r w:rsidRPr="000269DE">
        <w:rPr>
          <w:sz w:val="32"/>
        </w:rPr>
        <w:t>What standards(s) does this activity address?</w:t>
      </w:r>
      <w:r>
        <w:rPr>
          <w:sz w:val="32"/>
        </w:rPr>
        <w:t xml:space="preserve">  </w:t>
      </w:r>
    </w:p>
    <w:tbl>
      <w:tblPr>
        <w:tblW w:w="10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2"/>
        <w:gridCol w:w="3870"/>
        <w:gridCol w:w="1440"/>
        <w:gridCol w:w="2250"/>
      </w:tblGrid>
      <w:tr w:rsidR="00BE731E" w:rsidTr="00480D7E">
        <w:trPr>
          <w:trHeight w:val="480"/>
        </w:trPr>
        <w:tc>
          <w:tcPr>
            <w:tcW w:w="3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480D7E" w:rsidRDefault="00BE731E" w:rsidP="008C6F1A">
            <w:pPr>
              <w:pStyle w:val="TableGrid1"/>
              <w:rPr>
                <w:sz w:val="28"/>
              </w:rPr>
            </w:pPr>
            <w:r w:rsidRPr="00480D7E">
              <w:rPr>
                <w:i/>
                <w:iCs/>
                <w:sz w:val="28"/>
              </w:rPr>
              <w:t>Enduring Understanding</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480D7E" w:rsidRDefault="00BE731E" w:rsidP="008C6F1A">
            <w:pPr>
              <w:pStyle w:val="TableGrid1"/>
              <w:rPr>
                <w:sz w:val="28"/>
              </w:rPr>
            </w:pPr>
            <w:r w:rsidRPr="00480D7E">
              <w:rPr>
                <w:i/>
                <w:iCs/>
                <w:sz w:val="28"/>
              </w:rPr>
              <w:t>Demonstrators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480D7E" w:rsidRDefault="00BE731E" w:rsidP="008C6F1A">
            <w:pPr>
              <w:pStyle w:val="TableGrid1"/>
              <w:rPr>
                <w:sz w:val="28"/>
              </w:rPr>
            </w:pPr>
            <w:r w:rsidRPr="00480D7E">
              <w:rPr>
                <w:i/>
                <w:iCs/>
                <w:sz w:val="28"/>
              </w:rPr>
              <w:t>Related Standards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AA757A" w:rsidRDefault="00BE731E" w:rsidP="008C6F1A">
            <w:pPr>
              <w:pStyle w:val="Body"/>
              <w:jc w:val="center"/>
              <w:rPr>
                <w:rFonts w:ascii="Helvetica" w:eastAsia="Trebuchet MS Bold" w:hAnsi="Helvetica" w:cs="Trebuchet MS Bold"/>
                <w:b/>
              </w:rPr>
            </w:pPr>
            <w:r w:rsidRPr="00AA757A">
              <w:rPr>
                <w:rFonts w:ascii="Helvetica" w:hAnsi="Helvetica"/>
                <w:b/>
              </w:rPr>
              <w:t>Sources of Evidence:</w:t>
            </w:r>
          </w:p>
          <w:p w:rsidR="00BE731E" w:rsidRDefault="00BE731E" w:rsidP="008C6F1A">
            <w:pPr>
              <w:pStyle w:val="Body"/>
              <w:jc w:val="center"/>
            </w:pPr>
            <w:r w:rsidRPr="00AA757A">
              <w:rPr>
                <w:rFonts w:ascii="Helvetica" w:hAnsi="Helvetica"/>
                <w:b/>
              </w:rPr>
              <w:t>What is available or needs to be developed?</w:t>
            </w:r>
            <w:r w:rsidRPr="00AA757A">
              <w:rPr>
                <w:rFonts w:ascii="Helvetica" w:hAnsi="Helvetica"/>
                <w:b/>
              </w:rPr>
              <w:tab/>
            </w:r>
          </w:p>
        </w:tc>
      </w:tr>
      <w:tr w:rsidR="00BE731E" w:rsidTr="00480D7E">
        <w:trPr>
          <w:trHeight w:val="200"/>
        </w:trPr>
        <w:tc>
          <w:tcPr>
            <w:tcW w:w="3392" w:type="dxa"/>
            <w:vMerge w:val="restart"/>
            <w:tcBorders>
              <w:top w:val="single" w:sz="4" w:space="0" w:color="000000"/>
              <w:left w:val="single" w:sz="2" w:space="0" w:color="000000"/>
              <w:bottom w:val="single" w:sz="2" w:space="0" w:color="000000"/>
              <w:right w:val="single" w:sz="4" w:space="0" w:color="000000"/>
            </w:tcBorders>
            <w:shd w:val="clear" w:color="auto" w:fill="EEEEEE"/>
            <w:tcMar>
              <w:top w:w="80" w:type="dxa"/>
              <w:left w:w="80" w:type="dxa"/>
              <w:bottom w:w="80" w:type="dxa"/>
              <w:right w:w="80" w:type="dxa"/>
            </w:tcMar>
          </w:tcPr>
          <w:p w:rsidR="00BE731E" w:rsidRPr="00AA757A" w:rsidRDefault="00BE731E" w:rsidP="008C6F1A">
            <w:pPr>
              <w:pStyle w:val="TableGrid1"/>
              <w:rPr>
                <w:rFonts w:ascii="Helvetica" w:eastAsia="Trebuchet MS Bold" w:hAnsi="Helvetica" w:cs="Trebuchet MS Bold"/>
                <w:b/>
                <w:sz w:val="24"/>
                <w:szCs w:val="24"/>
              </w:rPr>
            </w:pPr>
            <w:r w:rsidRPr="00AA757A">
              <w:rPr>
                <w:rFonts w:ascii="Helvetica" w:hAnsi="Helvetica"/>
                <w:b/>
                <w:sz w:val="24"/>
                <w:szCs w:val="24"/>
              </w:rPr>
              <w:t>Students use the 8 Math Practices to develop understanding of proportional relationships.</w:t>
            </w:r>
          </w:p>
          <w:p w:rsidR="00BE731E" w:rsidRDefault="00BE731E" w:rsidP="008C6F1A">
            <w:pPr>
              <w:pStyle w:val="TableStyle2"/>
              <w:rPr>
                <w:rFonts w:ascii="Trebuchet MS Bold" w:eastAsia="Trebuchet MS Bold" w:hAnsi="Trebuchet MS Bold" w:cs="Trebuchet MS Bold"/>
                <w:sz w:val="24"/>
                <w:szCs w:val="24"/>
              </w:rPr>
            </w:pPr>
          </w:p>
          <w:p w:rsidR="00BE731E" w:rsidRDefault="00BE731E" w:rsidP="008C6F1A">
            <w:pPr>
              <w:pStyle w:val="TableStyle2"/>
              <w:rPr>
                <w:rFonts w:ascii="Trebuchet MS Bold" w:eastAsia="Trebuchet MS Bold" w:hAnsi="Trebuchet MS Bold" w:cs="Trebuchet MS Bold"/>
                <w:sz w:val="24"/>
                <w:szCs w:val="24"/>
              </w:rPr>
            </w:pPr>
          </w:p>
          <w:p w:rsidR="00BE731E" w:rsidRPr="00AA757A" w:rsidRDefault="00BE731E" w:rsidP="008C6F1A">
            <w:pPr>
              <w:pStyle w:val="BodyA"/>
              <w:rPr>
                <w:rFonts w:ascii="Helvetica" w:hAnsi="Helvetica"/>
              </w:rPr>
            </w:pPr>
            <w:r w:rsidRPr="00AA757A">
              <w:rPr>
                <w:rFonts w:ascii="Helvetica" w:hAnsi="Helvetica"/>
                <w:sz w:val="22"/>
                <w:szCs w:val="22"/>
              </w:rPr>
              <w:t>(Understanding here is defined as students’ ability to access and perform the content through the 8 Practice Standards.  See pg</w:t>
            </w:r>
            <w:r>
              <w:rPr>
                <w:rFonts w:ascii="Helvetica" w:hAnsi="Helvetica"/>
                <w:sz w:val="22"/>
                <w:szCs w:val="22"/>
              </w:rPr>
              <w:t>.</w:t>
            </w:r>
            <w:r w:rsidRPr="00AA757A">
              <w:rPr>
                <w:rFonts w:ascii="Helvetica" w:hAnsi="Helvetica"/>
                <w:sz w:val="22"/>
                <w:szCs w:val="22"/>
              </w:rPr>
              <w:t xml:space="preserve"> 8 of standards document for further detail.)</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Default="00BE731E" w:rsidP="008C6F1A"/>
        </w:tc>
        <w:tc>
          <w:tcPr>
            <w:tcW w:w="144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Default="00BE731E" w:rsidP="008C6F1A"/>
        </w:tc>
        <w:tc>
          <w:tcPr>
            <w:tcW w:w="2250" w:type="dxa"/>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731E" w:rsidRDefault="00BE731E" w:rsidP="008C6F1A"/>
        </w:tc>
      </w:tr>
      <w:tr w:rsidR="00BE731E" w:rsidTr="00480D7E">
        <w:trPr>
          <w:trHeight w:val="200"/>
        </w:trPr>
        <w:tc>
          <w:tcPr>
            <w:tcW w:w="3392" w:type="dxa"/>
            <w:vMerge/>
            <w:tcBorders>
              <w:top w:val="single" w:sz="4" w:space="0" w:color="000000"/>
              <w:left w:val="single" w:sz="2" w:space="0" w:color="000000"/>
              <w:bottom w:val="single" w:sz="2" w:space="0" w:color="000000"/>
              <w:right w:val="single" w:sz="4" w:space="0" w:color="000000"/>
            </w:tcBorders>
            <w:shd w:val="clear" w:color="auto" w:fill="EEEEEE"/>
          </w:tcPr>
          <w:p w:rsidR="00BE731E" w:rsidRDefault="00BE731E" w:rsidP="008C6F1A"/>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Use understanding to solve single and multistep problems from the real world.</w:t>
            </w:r>
          </w:p>
        </w:tc>
        <w:tc>
          <w:tcPr>
            <w:tcW w:w="144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7.RPA.1</w:t>
            </w:r>
          </w:p>
          <w:p w:rsidR="00BE731E" w:rsidRPr="00AA757A" w:rsidRDefault="00BE731E" w:rsidP="008C6F1A">
            <w:pPr>
              <w:pStyle w:val="TableGrid1"/>
              <w:rPr>
                <w:rFonts w:ascii="Helvetica" w:hAnsi="Helvetica"/>
                <w:sz w:val="20"/>
                <w:szCs w:val="20"/>
              </w:rPr>
            </w:pPr>
            <w:r w:rsidRPr="00AA757A">
              <w:rPr>
                <w:rFonts w:ascii="Helvetica" w:hAnsi="Helvetica"/>
                <w:sz w:val="20"/>
                <w:szCs w:val="20"/>
              </w:rPr>
              <w:t>7.PRA.2</w:t>
            </w:r>
          </w:p>
          <w:p w:rsidR="00BE731E" w:rsidRPr="00AA757A" w:rsidRDefault="00BE731E" w:rsidP="008C6F1A">
            <w:pPr>
              <w:pStyle w:val="TableGrid1"/>
              <w:rPr>
                <w:rFonts w:ascii="Helvetica" w:hAnsi="Helvetica"/>
                <w:sz w:val="20"/>
                <w:szCs w:val="20"/>
              </w:rPr>
            </w:pPr>
            <w:r w:rsidRPr="00AA757A">
              <w:rPr>
                <w:rFonts w:ascii="Helvetica" w:hAnsi="Helvetica"/>
                <w:sz w:val="20"/>
                <w:szCs w:val="20"/>
              </w:rPr>
              <w:t>7.EE</w:t>
            </w:r>
          </w:p>
          <w:p w:rsidR="00BE731E" w:rsidRPr="00AA757A" w:rsidRDefault="00BE731E" w:rsidP="008C6F1A">
            <w:pPr>
              <w:pStyle w:val="TableGrid1"/>
              <w:rPr>
                <w:rFonts w:ascii="Helvetica" w:hAnsi="Helvetica"/>
                <w:sz w:val="20"/>
                <w:szCs w:val="20"/>
              </w:rPr>
            </w:pPr>
            <w:r w:rsidRPr="00AA757A">
              <w:rPr>
                <w:rFonts w:ascii="Helvetica" w:hAnsi="Helvetica"/>
                <w:sz w:val="20"/>
                <w:szCs w:val="20"/>
              </w:rPr>
              <w:t>7.G.A.1</w:t>
            </w:r>
          </w:p>
        </w:tc>
        <w:tc>
          <w:tcPr>
            <w:tcW w:w="22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731E" w:rsidRDefault="00BE731E" w:rsidP="008C6F1A"/>
        </w:tc>
      </w:tr>
      <w:tr w:rsidR="00BE731E" w:rsidTr="00480D7E">
        <w:trPr>
          <w:trHeight w:val="200"/>
        </w:trPr>
        <w:tc>
          <w:tcPr>
            <w:tcW w:w="3392" w:type="dxa"/>
            <w:vMerge/>
            <w:tcBorders>
              <w:top w:val="single" w:sz="4" w:space="0" w:color="000000"/>
              <w:left w:val="single" w:sz="2" w:space="0" w:color="000000"/>
              <w:bottom w:val="single" w:sz="2" w:space="0" w:color="000000"/>
              <w:right w:val="single" w:sz="4" w:space="0" w:color="000000"/>
            </w:tcBorders>
            <w:shd w:val="clear" w:color="auto" w:fill="EEEEEE"/>
          </w:tcPr>
          <w:p w:rsidR="00BE731E" w:rsidRDefault="00BE731E" w:rsidP="008C6F1A"/>
        </w:tc>
        <w:tc>
          <w:tcPr>
            <w:tcW w:w="387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Use understanding to solve wide variety of percent problems.</w:t>
            </w:r>
          </w:p>
        </w:tc>
        <w:tc>
          <w:tcPr>
            <w:tcW w:w="1440" w:type="dxa"/>
            <w:tcBorders>
              <w:top w:val="single" w:sz="4" w:space="0" w:color="000000"/>
              <w:left w:val="single" w:sz="4" w:space="0" w:color="000000"/>
              <w:bottom w:val="single" w:sz="4" w:space="0" w:color="000000"/>
              <w:right w:val="single" w:sz="2" w:space="0" w:color="000000"/>
            </w:tcBorders>
            <w:shd w:val="clear" w:color="auto" w:fill="FEFEFE"/>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7.RPA.3</w:t>
            </w:r>
          </w:p>
          <w:p w:rsidR="00BE731E" w:rsidRPr="00AA757A" w:rsidRDefault="00BE731E" w:rsidP="008C6F1A">
            <w:pPr>
              <w:pStyle w:val="TableGrid1"/>
              <w:rPr>
                <w:rFonts w:ascii="Helvetica" w:hAnsi="Helvetica"/>
                <w:sz w:val="20"/>
                <w:szCs w:val="20"/>
              </w:rPr>
            </w:pPr>
            <w:r w:rsidRPr="00AA757A">
              <w:rPr>
                <w:rFonts w:ascii="Helvetica" w:hAnsi="Helvetica"/>
                <w:sz w:val="20"/>
                <w:szCs w:val="20"/>
              </w:rPr>
              <w:t>7.EE</w:t>
            </w:r>
          </w:p>
        </w:tc>
        <w:tc>
          <w:tcPr>
            <w:tcW w:w="2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731E" w:rsidRDefault="00BE731E" w:rsidP="008C6F1A"/>
        </w:tc>
      </w:tr>
      <w:tr w:rsidR="00BE731E" w:rsidTr="00480D7E">
        <w:trPr>
          <w:trHeight w:val="200"/>
        </w:trPr>
        <w:tc>
          <w:tcPr>
            <w:tcW w:w="3392" w:type="dxa"/>
            <w:vMerge/>
            <w:tcBorders>
              <w:top w:val="single" w:sz="4" w:space="0" w:color="000000"/>
              <w:left w:val="single" w:sz="2" w:space="0" w:color="000000"/>
              <w:bottom w:val="single" w:sz="2" w:space="0" w:color="000000"/>
              <w:right w:val="single" w:sz="4" w:space="0" w:color="000000"/>
            </w:tcBorders>
            <w:shd w:val="clear" w:color="auto" w:fill="EEEEEE"/>
          </w:tcPr>
          <w:p w:rsidR="00BE731E" w:rsidRDefault="00BE731E" w:rsidP="008C6F1A"/>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Use understanding to solve problems about scale drawings.</w:t>
            </w:r>
          </w:p>
        </w:tc>
        <w:tc>
          <w:tcPr>
            <w:tcW w:w="144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7.EE</w:t>
            </w:r>
          </w:p>
          <w:p w:rsidR="00BE731E" w:rsidRPr="00AA757A" w:rsidRDefault="00BE731E" w:rsidP="008C6F1A">
            <w:pPr>
              <w:pStyle w:val="TableGrid1"/>
              <w:rPr>
                <w:rFonts w:ascii="Helvetica" w:hAnsi="Helvetica"/>
                <w:sz w:val="20"/>
                <w:szCs w:val="20"/>
              </w:rPr>
            </w:pPr>
            <w:r w:rsidRPr="00AA757A">
              <w:rPr>
                <w:rFonts w:ascii="Helvetica" w:hAnsi="Helvetica"/>
                <w:sz w:val="20"/>
                <w:szCs w:val="20"/>
              </w:rPr>
              <w:t>7.G.A</w:t>
            </w:r>
          </w:p>
        </w:tc>
        <w:tc>
          <w:tcPr>
            <w:tcW w:w="22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E731E" w:rsidRDefault="00BE731E" w:rsidP="008C6F1A"/>
        </w:tc>
      </w:tr>
      <w:tr w:rsidR="00BE731E" w:rsidTr="00480D7E">
        <w:trPr>
          <w:trHeight w:val="200"/>
        </w:trPr>
        <w:tc>
          <w:tcPr>
            <w:tcW w:w="3392" w:type="dxa"/>
            <w:vMerge/>
            <w:tcBorders>
              <w:top w:val="single" w:sz="4" w:space="0" w:color="000000"/>
              <w:left w:val="single" w:sz="2" w:space="0" w:color="000000"/>
              <w:bottom w:val="single" w:sz="2" w:space="0" w:color="000000"/>
              <w:right w:val="single" w:sz="4" w:space="0" w:color="000000"/>
            </w:tcBorders>
            <w:shd w:val="clear" w:color="auto" w:fill="EEEEEE"/>
          </w:tcPr>
          <w:p w:rsidR="00BE731E" w:rsidRDefault="00BE731E" w:rsidP="008C6F1A"/>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Use understanding to graph proportional relationships, understand unit rate as an informal measure of slope.</w:t>
            </w:r>
          </w:p>
        </w:tc>
        <w:tc>
          <w:tcPr>
            <w:tcW w:w="144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7.RP.A.2</w:t>
            </w:r>
          </w:p>
        </w:tc>
        <w:tc>
          <w:tcPr>
            <w:tcW w:w="22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731E" w:rsidRDefault="00BE731E" w:rsidP="008C6F1A"/>
        </w:tc>
      </w:tr>
      <w:tr w:rsidR="00BE731E" w:rsidTr="00480D7E">
        <w:trPr>
          <w:trHeight w:val="490"/>
        </w:trPr>
        <w:tc>
          <w:tcPr>
            <w:tcW w:w="3392" w:type="dxa"/>
            <w:vMerge/>
            <w:tcBorders>
              <w:top w:val="single" w:sz="4" w:space="0" w:color="000000"/>
              <w:left w:val="single" w:sz="2" w:space="0" w:color="000000"/>
              <w:bottom w:val="single" w:sz="2" w:space="0" w:color="000000"/>
              <w:right w:val="single" w:sz="4" w:space="0" w:color="000000"/>
            </w:tcBorders>
            <w:shd w:val="clear" w:color="auto" w:fill="EEEEEE"/>
          </w:tcPr>
          <w:p w:rsidR="00BE731E" w:rsidRDefault="00BE731E" w:rsidP="008C6F1A"/>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Use understanding to distinguish proportional relationships from others.</w:t>
            </w:r>
          </w:p>
        </w:tc>
        <w:tc>
          <w:tcPr>
            <w:tcW w:w="144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Pr="00AA757A" w:rsidRDefault="00BE731E" w:rsidP="008C6F1A">
            <w:pPr>
              <w:pStyle w:val="TableGrid1"/>
              <w:rPr>
                <w:rFonts w:ascii="Helvetica" w:hAnsi="Helvetica"/>
                <w:sz w:val="20"/>
                <w:szCs w:val="20"/>
              </w:rPr>
            </w:pPr>
            <w:r w:rsidRPr="00AA757A">
              <w:rPr>
                <w:rFonts w:ascii="Helvetica" w:hAnsi="Helvetica"/>
                <w:sz w:val="20"/>
                <w:szCs w:val="20"/>
              </w:rPr>
              <w:t>7.RP.A.2</w:t>
            </w:r>
          </w:p>
        </w:tc>
        <w:tc>
          <w:tcPr>
            <w:tcW w:w="2250"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BE731E" w:rsidRDefault="00BE731E" w:rsidP="008C6F1A"/>
        </w:tc>
      </w:tr>
      <w:tr w:rsidR="00BE731E" w:rsidTr="00480D7E">
        <w:trPr>
          <w:trHeight w:val="490"/>
        </w:trPr>
        <w:tc>
          <w:tcPr>
            <w:tcW w:w="33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731E" w:rsidRDefault="00BE731E" w:rsidP="008C6F1A"/>
        </w:tc>
        <w:tc>
          <w:tcPr>
            <w:tcW w:w="7560" w:type="dxa"/>
            <w:gridSpan w:val="3"/>
            <w:tcBorders>
              <w:top w:val="single" w:sz="4"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731E" w:rsidRPr="00AA757A" w:rsidRDefault="00BE731E" w:rsidP="008C6F1A">
            <w:pPr>
              <w:pStyle w:val="TableStyle2"/>
            </w:pPr>
            <w:r w:rsidRPr="00AA757A">
              <w:t>This is critical in students</w:t>
            </w:r>
            <w:r w:rsidRPr="00AA757A">
              <w:rPr>
                <w:rFonts w:hAnsi="Helvetica"/>
              </w:rPr>
              <w:t>’</w:t>
            </w:r>
            <w:r w:rsidRPr="00AA757A">
              <w:t xml:space="preserve"> journey to understand equations and use them to describe numbers and analyze relationships and to understand transformations and use them to describe and analyze relationships between and within figures in the Euclidean and Coordinate planes.</w:t>
            </w:r>
          </w:p>
        </w:tc>
      </w:tr>
    </w:tbl>
    <w:p w:rsidR="004A410A" w:rsidRDefault="004A410A"/>
    <w:p w:rsidR="00BE731E" w:rsidRPr="004A410A" w:rsidRDefault="004A410A" w:rsidP="004A410A">
      <w:pPr>
        <w:jc w:val="center"/>
        <w:rPr>
          <w:b/>
          <w:sz w:val="36"/>
        </w:rPr>
      </w:pPr>
      <w:r w:rsidRPr="004A410A">
        <w:rPr>
          <w:b/>
          <w:sz w:val="36"/>
        </w:rPr>
        <w:t>Sources of baseline data</w:t>
      </w:r>
    </w:p>
    <w:p w:rsidR="00BE731E" w:rsidRPr="004A410A" w:rsidRDefault="00BE731E" w:rsidP="00DC59C3">
      <w:pPr>
        <w:pStyle w:val="NoSpacing"/>
        <w:numPr>
          <w:ilvl w:val="0"/>
          <w:numId w:val="2"/>
        </w:numPr>
        <w:rPr>
          <w:sz w:val="32"/>
        </w:rPr>
      </w:pPr>
      <w:r w:rsidRPr="004A410A">
        <w:rPr>
          <w:sz w:val="32"/>
        </w:rPr>
        <w:t>Shell Center task and tests</w:t>
      </w:r>
      <w:r w:rsidR="00107C54" w:rsidRPr="004A410A">
        <w:rPr>
          <w:sz w:val="32"/>
        </w:rPr>
        <w:t xml:space="preserve">  (Search by Standards)</w:t>
      </w:r>
    </w:p>
    <w:p w:rsidR="00107C54" w:rsidRPr="004A410A" w:rsidRDefault="00282B8B" w:rsidP="00DC59C3">
      <w:pPr>
        <w:pStyle w:val="NoSpacing"/>
        <w:numPr>
          <w:ilvl w:val="1"/>
          <w:numId w:val="2"/>
        </w:numPr>
        <w:rPr>
          <w:sz w:val="32"/>
        </w:rPr>
      </w:pPr>
      <w:hyperlink r:id="rId9" w:history="1">
        <w:r w:rsidR="00DC59C3" w:rsidRPr="004A410A">
          <w:rPr>
            <w:rStyle w:val="Hyperlink"/>
            <w:sz w:val="32"/>
          </w:rPr>
          <w:t>http://map.mathshell.org/materials/index.php</w:t>
        </w:r>
      </w:hyperlink>
    </w:p>
    <w:p w:rsidR="00DC59C3" w:rsidRPr="004A410A" w:rsidRDefault="00DC59C3" w:rsidP="00DC59C3">
      <w:pPr>
        <w:pStyle w:val="NoSpacing"/>
        <w:ind w:left="720"/>
        <w:rPr>
          <w:sz w:val="12"/>
        </w:rPr>
      </w:pPr>
    </w:p>
    <w:p w:rsidR="00AC1E3C" w:rsidRPr="004A410A" w:rsidRDefault="00BE731E" w:rsidP="00DC59C3">
      <w:pPr>
        <w:pStyle w:val="NoSpacing"/>
        <w:numPr>
          <w:ilvl w:val="0"/>
          <w:numId w:val="2"/>
        </w:numPr>
        <w:rPr>
          <w:sz w:val="32"/>
        </w:rPr>
      </w:pPr>
      <w:r w:rsidRPr="004A410A">
        <w:rPr>
          <w:sz w:val="32"/>
        </w:rPr>
        <w:t>Illustrative Math</w:t>
      </w:r>
    </w:p>
    <w:p w:rsidR="000F5DCC" w:rsidRPr="004A410A" w:rsidRDefault="00282B8B" w:rsidP="00DC59C3">
      <w:pPr>
        <w:pStyle w:val="NoSpacing"/>
        <w:numPr>
          <w:ilvl w:val="1"/>
          <w:numId w:val="2"/>
        </w:numPr>
        <w:rPr>
          <w:sz w:val="32"/>
        </w:rPr>
      </w:pPr>
      <w:hyperlink r:id="rId10" w:history="1">
        <w:r w:rsidR="00DC59C3" w:rsidRPr="004A410A">
          <w:rPr>
            <w:rStyle w:val="Hyperlink"/>
            <w:sz w:val="32"/>
          </w:rPr>
          <w:t>https://www.illustrativemathematics.org/illustrations/1550</w:t>
        </w:r>
      </w:hyperlink>
    </w:p>
    <w:p w:rsidR="00DC59C3" w:rsidRPr="004A410A" w:rsidRDefault="00DC59C3" w:rsidP="00DC59C3">
      <w:pPr>
        <w:pStyle w:val="NoSpacing"/>
        <w:ind w:left="720"/>
        <w:rPr>
          <w:sz w:val="12"/>
        </w:rPr>
      </w:pPr>
    </w:p>
    <w:p w:rsidR="00DC59C3" w:rsidRPr="004A410A" w:rsidRDefault="00BE731E" w:rsidP="00DC59C3">
      <w:pPr>
        <w:pStyle w:val="NoSpacing"/>
        <w:numPr>
          <w:ilvl w:val="0"/>
          <w:numId w:val="2"/>
        </w:numPr>
        <w:rPr>
          <w:sz w:val="32"/>
        </w:rPr>
      </w:pPr>
      <w:r w:rsidRPr="004A410A">
        <w:rPr>
          <w:sz w:val="32"/>
        </w:rPr>
        <w:t>Formative Assessment lessons (Shell Cente</w:t>
      </w:r>
      <w:r w:rsidR="00DC59C3" w:rsidRPr="004A410A">
        <w:rPr>
          <w:sz w:val="32"/>
        </w:rPr>
        <w:t xml:space="preserve">r </w:t>
      </w:r>
      <w:r w:rsidR="00DC59C3" w:rsidRPr="004A410A">
        <w:rPr>
          <w:sz w:val="32"/>
        </w:rPr>
        <w:sym w:font="Wingdings" w:char="F0E0"/>
      </w:r>
      <w:r w:rsidR="00DC59C3" w:rsidRPr="004A410A">
        <w:rPr>
          <w:sz w:val="32"/>
        </w:rPr>
        <w:t xml:space="preserve"> Lessons </w:t>
      </w:r>
      <w:r w:rsidR="00DC59C3" w:rsidRPr="004A410A">
        <w:rPr>
          <w:sz w:val="32"/>
        </w:rPr>
        <w:sym w:font="Wingdings" w:char="F0E0"/>
      </w:r>
      <w:r w:rsidR="00DC59C3" w:rsidRPr="004A410A">
        <w:rPr>
          <w:sz w:val="32"/>
        </w:rPr>
        <w:t xml:space="preserve"> Grade 7</w:t>
      </w:r>
      <w:r w:rsidRPr="004A410A">
        <w:rPr>
          <w:sz w:val="32"/>
        </w:rPr>
        <w:t>)  -- When can this be used?</w:t>
      </w:r>
    </w:p>
    <w:p w:rsidR="00DC59C3" w:rsidRPr="004A410A" w:rsidRDefault="00282B8B" w:rsidP="00DC59C3">
      <w:pPr>
        <w:pStyle w:val="NoSpacing"/>
        <w:numPr>
          <w:ilvl w:val="1"/>
          <w:numId w:val="2"/>
        </w:numPr>
        <w:rPr>
          <w:sz w:val="32"/>
        </w:rPr>
      </w:pPr>
      <w:hyperlink r:id="rId11" w:history="1">
        <w:r w:rsidR="00DC59C3" w:rsidRPr="004A410A">
          <w:rPr>
            <w:rStyle w:val="Hyperlink"/>
            <w:sz w:val="32"/>
          </w:rPr>
          <w:t>http://map.mathshell.org/materials/lessons.php</w:t>
        </w:r>
      </w:hyperlink>
    </w:p>
    <w:p w:rsidR="00DC59C3" w:rsidRPr="004A410A" w:rsidRDefault="00DC59C3" w:rsidP="00DC59C3">
      <w:pPr>
        <w:pStyle w:val="NoSpacing"/>
        <w:ind w:left="1440"/>
        <w:rPr>
          <w:sz w:val="12"/>
        </w:rPr>
      </w:pPr>
    </w:p>
    <w:p w:rsidR="00BE731E" w:rsidRPr="004A410A" w:rsidRDefault="000F5DCC" w:rsidP="000269DE">
      <w:pPr>
        <w:pStyle w:val="NoSpacing"/>
        <w:numPr>
          <w:ilvl w:val="0"/>
          <w:numId w:val="5"/>
        </w:numPr>
        <w:rPr>
          <w:sz w:val="32"/>
        </w:rPr>
      </w:pPr>
      <w:r w:rsidRPr="004A410A">
        <w:rPr>
          <w:sz w:val="32"/>
        </w:rPr>
        <w:t>Inside Math</w:t>
      </w:r>
      <w:r w:rsidR="00DC59C3" w:rsidRPr="004A410A">
        <w:rPr>
          <w:sz w:val="32"/>
        </w:rPr>
        <w:t xml:space="preserve">   (Common Core Standards </w:t>
      </w:r>
      <w:r w:rsidR="00DC59C3" w:rsidRPr="004A410A">
        <w:rPr>
          <w:sz w:val="32"/>
        </w:rPr>
        <w:sym w:font="Wingdings" w:char="F0E0"/>
      </w:r>
      <w:r w:rsidR="00DC59C3" w:rsidRPr="004A410A">
        <w:rPr>
          <w:sz w:val="32"/>
        </w:rPr>
        <w:t>Math Content Standards)</w:t>
      </w:r>
    </w:p>
    <w:p w:rsidR="00870322" w:rsidRDefault="00282B8B" w:rsidP="000269DE">
      <w:pPr>
        <w:pStyle w:val="NoSpacing"/>
        <w:numPr>
          <w:ilvl w:val="1"/>
          <w:numId w:val="5"/>
        </w:numPr>
        <w:rPr>
          <w:rStyle w:val="Hyperlink"/>
          <w:sz w:val="32"/>
        </w:rPr>
      </w:pPr>
      <w:hyperlink r:id="rId12" w:history="1">
        <w:r w:rsidR="00DC59C3" w:rsidRPr="000269DE">
          <w:rPr>
            <w:rStyle w:val="Hyperlink"/>
            <w:sz w:val="32"/>
          </w:rPr>
          <w:t>http://www.insidemathematics.org/index.php/7th-grade</w:t>
        </w:r>
      </w:hyperlink>
    </w:p>
    <w:p w:rsidR="00841374" w:rsidRPr="00841374" w:rsidRDefault="00870322" w:rsidP="00841374">
      <w:pPr>
        <w:jc w:val="center"/>
        <w:rPr>
          <w:b/>
          <w:sz w:val="36"/>
          <w:szCs w:val="28"/>
        </w:rPr>
      </w:pPr>
      <w:r>
        <w:rPr>
          <w:rStyle w:val="Hyperlink"/>
          <w:sz w:val="32"/>
        </w:rPr>
        <w:br w:type="page"/>
      </w:r>
      <w:r w:rsidR="00841374" w:rsidRPr="00841374">
        <w:rPr>
          <w:b/>
          <w:sz w:val="36"/>
          <w:szCs w:val="28"/>
        </w:rPr>
        <w:lastRenderedPageBreak/>
        <w:t>More on Enduring Understandings in Math</w:t>
      </w:r>
    </w:p>
    <w:p w:rsidR="00841374" w:rsidRDefault="00841374" w:rsidP="00FA5EFD">
      <w:pPr>
        <w:pStyle w:val="NoSpacing"/>
        <w:ind w:left="810"/>
        <w:rPr>
          <w:sz w:val="28"/>
          <w:szCs w:val="28"/>
        </w:rPr>
      </w:pPr>
    </w:p>
    <w:p w:rsidR="00FA5EFD" w:rsidRPr="00B83B40" w:rsidRDefault="00FA5EFD" w:rsidP="00FA5EFD">
      <w:pPr>
        <w:pStyle w:val="NoSpacing"/>
        <w:ind w:left="810"/>
        <w:rPr>
          <w:sz w:val="28"/>
          <w:szCs w:val="28"/>
        </w:rPr>
      </w:pPr>
      <w:r w:rsidRPr="00B83B40">
        <w:rPr>
          <w:sz w:val="28"/>
          <w:szCs w:val="28"/>
        </w:rPr>
        <w:t xml:space="preserve">Link(s) to Common Core Tools site that helps with seeing the progression and connection between the standards.  Specifically the introduction on pages 1 – 8 and the overviews.  Examples of the overviews are found on pages 27, 33, 39, 46 and 52.  </w:t>
      </w:r>
    </w:p>
    <w:p w:rsidR="00870322" w:rsidRPr="00B83B40" w:rsidRDefault="00282B8B" w:rsidP="00FA5EFD">
      <w:pPr>
        <w:pStyle w:val="NoSpacing"/>
        <w:ind w:left="810"/>
        <w:rPr>
          <w:sz w:val="24"/>
          <w:szCs w:val="28"/>
        </w:rPr>
      </w:pPr>
      <w:hyperlink r:id="rId13" w:history="1">
        <w:r w:rsidR="00FA5EFD" w:rsidRPr="00B83B40">
          <w:rPr>
            <w:rStyle w:val="Hyperlink"/>
            <w:sz w:val="24"/>
            <w:szCs w:val="28"/>
          </w:rPr>
          <w:t>http://commoncoretools.me/wp-content/uploads/2011/02/ccssi_math_standards_hyperlinked_1-0.pdf</w:t>
        </w:r>
      </w:hyperlink>
    </w:p>
    <w:p w:rsidR="00FA5EFD" w:rsidRPr="00B83B40" w:rsidRDefault="00FA5EFD" w:rsidP="00FA5EFD">
      <w:pPr>
        <w:pStyle w:val="NoSpacing"/>
        <w:ind w:left="810"/>
        <w:rPr>
          <w:sz w:val="28"/>
          <w:szCs w:val="28"/>
        </w:rPr>
      </w:pPr>
    </w:p>
    <w:p w:rsidR="00FA5EFD" w:rsidRPr="00B83B40" w:rsidRDefault="00B83B40" w:rsidP="00FA5EFD">
      <w:pPr>
        <w:pStyle w:val="NoSpacing"/>
        <w:ind w:left="810"/>
        <w:rPr>
          <w:sz w:val="28"/>
          <w:szCs w:val="28"/>
        </w:rPr>
      </w:pPr>
      <w:r>
        <w:rPr>
          <w:sz w:val="28"/>
          <w:szCs w:val="28"/>
        </w:rPr>
        <w:t xml:space="preserve">(Shortened URL for the same site.) </w:t>
      </w:r>
      <w:hyperlink r:id="rId14" w:history="1">
        <w:r w:rsidR="00FA5EFD" w:rsidRPr="00B83B40">
          <w:rPr>
            <w:rStyle w:val="Hyperlink"/>
            <w:sz w:val="28"/>
            <w:szCs w:val="28"/>
          </w:rPr>
          <w:t>http://bit.ly/1jIdef6</w:t>
        </w:r>
      </w:hyperlink>
    </w:p>
    <w:p w:rsidR="00FA5EFD" w:rsidRPr="00B83B40" w:rsidRDefault="00FA5EFD" w:rsidP="00FA5EFD">
      <w:pPr>
        <w:pStyle w:val="NoSpacing"/>
        <w:ind w:left="810"/>
        <w:rPr>
          <w:sz w:val="28"/>
          <w:szCs w:val="28"/>
        </w:rPr>
      </w:pPr>
    </w:p>
    <w:p w:rsidR="00B83B40" w:rsidRPr="00B83B40" w:rsidRDefault="00B83B40" w:rsidP="00FA5EFD">
      <w:pPr>
        <w:pStyle w:val="NoSpacing"/>
        <w:ind w:left="810"/>
        <w:rPr>
          <w:sz w:val="28"/>
          <w:szCs w:val="28"/>
        </w:rPr>
      </w:pPr>
      <w:r w:rsidRPr="00B83B40">
        <w:rPr>
          <w:sz w:val="28"/>
          <w:szCs w:val="28"/>
        </w:rPr>
        <w:t>Here’s another resource:</w:t>
      </w:r>
    </w:p>
    <w:p w:rsidR="00B83B40" w:rsidRPr="00B83B40" w:rsidRDefault="00282B8B" w:rsidP="00FA5EFD">
      <w:pPr>
        <w:pStyle w:val="NoSpacing"/>
        <w:ind w:left="810"/>
        <w:rPr>
          <w:sz w:val="24"/>
          <w:szCs w:val="28"/>
        </w:rPr>
      </w:pPr>
      <w:hyperlink r:id="rId15" w:anchor="progressiondocs" w:history="1">
        <w:r w:rsidR="00B83B40" w:rsidRPr="00B83B40">
          <w:rPr>
            <w:rStyle w:val="Hyperlink"/>
            <w:sz w:val="24"/>
            <w:szCs w:val="28"/>
          </w:rPr>
          <w:t>http://matheducation-thenextfiveyears.wikispaces.com/Common+Core+Standards#progressiondocs</w:t>
        </w:r>
      </w:hyperlink>
    </w:p>
    <w:p w:rsidR="00B83B40" w:rsidRPr="00B83B40" w:rsidRDefault="00B83B40" w:rsidP="00FA5EFD">
      <w:pPr>
        <w:pStyle w:val="NoSpacing"/>
        <w:ind w:left="810"/>
        <w:rPr>
          <w:sz w:val="28"/>
          <w:szCs w:val="28"/>
        </w:rPr>
      </w:pPr>
      <w:r w:rsidRPr="00B83B40">
        <w:rPr>
          <w:sz w:val="28"/>
          <w:szCs w:val="28"/>
        </w:rPr>
        <w:t>It does a good job at looking at the progressions from grade to grade…</w:t>
      </w:r>
    </w:p>
    <w:p w:rsidR="00B83B40" w:rsidRPr="00B83B40" w:rsidRDefault="00B83B40" w:rsidP="00FA5EFD">
      <w:pPr>
        <w:pStyle w:val="NoSpacing"/>
        <w:ind w:left="810"/>
        <w:rPr>
          <w:sz w:val="28"/>
          <w:szCs w:val="28"/>
        </w:rPr>
      </w:pPr>
    </w:p>
    <w:p w:rsidR="00B83B40" w:rsidRPr="00B83B40" w:rsidRDefault="00B83B40" w:rsidP="00FA5EFD">
      <w:pPr>
        <w:pStyle w:val="NoSpacing"/>
        <w:ind w:left="810"/>
        <w:rPr>
          <w:sz w:val="28"/>
          <w:szCs w:val="28"/>
        </w:rPr>
      </w:pPr>
      <w:r w:rsidRPr="00B83B40">
        <w:rPr>
          <w:sz w:val="28"/>
          <w:szCs w:val="28"/>
        </w:rPr>
        <w:t>This image from the pages above also helps:</w:t>
      </w:r>
    </w:p>
    <w:p w:rsidR="00B83B40" w:rsidRDefault="00B83B40" w:rsidP="00FA5EFD">
      <w:pPr>
        <w:pStyle w:val="NoSpacing"/>
        <w:ind w:left="810"/>
      </w:pPr>
      <w:r>
        <w:rPr>
          <w:noProof/>
        </w:rPr>
        <w:drawing>
          <wp:inline distT="0" distB="0" distL="0" distR="0" wp14:anchorId="19EB8573" wp14:editId="5DCEC0CD">
            <wp:extent cx="2994660" cy="2453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94660" cy="2453640"/>
                    </a:xfrm>
                    <a:prstGeom prst="rect">
                      <a:avLst/>
                    </a:prstGeom>
                  </pic:spPr>
                </pic:pic>
              </a:graphicData>
            </a:graphic>
          </wp:inline>
        </w:drawing>
      </w:r>
    </w:p>
    <w:p w:rsidR="00B83B40" w:rsidRDefault="00B83B40" w:rsidP="00FA5EFD">
      <w:pPr>
        <w:pStyle w:val="NoSpacing"/>
        <w:ind w:left="810"/>
        <w:rPr>
          <w:sz w:val="28"/>
        </w:rPr>
      </w:pPr>
    </w:p>
    <w:p w:rsidR="00B83B40" w:rsidRPr="00841374" w:rsidRDefault="00B83B40" w:rsidP="00B83B40">
      <w:pPr>
        <w:spacing w:before="240" w:after="240" w:line="302" w:lineRule="atLeast"/>
        <w:rPr>
          <w:rFonts w:ascii="Lato Light" w:eastAsia="Times New Roman" w:hAnsi="Lato Light" w:cs="Times New Roman"/>
          <w:color w:val="202020"/>
          <w:sz w:val="36"/>
          <w:szCs w:val="32"/>
        </w:rPr>
      </w:pPr>
      <w:r w:rsidRPr="00841374">
        <w:rPr>
          <w:rFonts w:ascii="Lato Light" w:eastAsia="Times New Roman" w:hAnsi="Lato Light" w:cs="Times New Roman"/>
          <w:color w:val="202020"/>
          <w:sz w:val="36"/>
          <w:szCs w:val="32"/>
        </w:rPr>
        <w:t>The shifts are important as well…</w:t>
      </w:r>
    </w:p>
    <w:p w:rsidR="00841374" w:rsidRDefault="00B83B40" w:rsidP="00B83B40">
      <w:pPr>
        <w:spacing w:before="240" w:after="240" w:line="302" w:lineRule="atLeast"/>
        <w:rPr>
          <w:rFonts w:ascii="Lato Light" w:eastAsia="Times New Roman" w:hAnsi="Lato Light" w:cs="Times New Roman"/>
          <w:color w:val="202020"/>
          <w:sz w:val="32"/>
          <w:szCs w:val="32"/>
        </w:rPr>
      </w:pPr>
      <w:r w:rsidRPr="00B83B40">
        <w:rPr>
          <w:rFonts w:ascii="Lato Light" w:eastAsia="Times New Roman" w:hAnsi="Lato Light" w:cs="Times New Roman"/>
          <w:color w:val="202020"/>
          <w:sz w:val="32"/>
          <w:szCs w:val="32"/>
        </w:rPr>
        <w:t>The following are the key shifts called for by the Common Core:</w:t>
      </w:r>
      <w:r w:rsidR="00841374">
        <w:rPr>
          <w:rFonts w:ascii="Lato Light" w:eastAsia="Times New Roman" w:hAnsi="Lato Light" w:cs="Times New Roman"/>
          <w:color w:val="202020"/>
          <w:sz w:val="32"/>
          <w:szCs w:val="32"/>
        </w:rPr>
        <w:t xml:space="preserve">  </w:t>
      </w:r>
    </w:p>
    <w:p w:rsidR="00B83B40" w:rsidRPr="00B83B40" w:rsidRDefault="00841374" w:rsidP="00B83B40">
      <w:pPr>
        <w:spacing w:before="240" w:after="240" w:line="302" w:lineRule="atLeast"/>
        <w:rPr>
          <w:rFonts w:ascii="Lato Light" w:eastAsia="Times New Roman" w:hAnsi="Lato Light" w:cs="Times New Roman"/>
          <w:color w:val="202020"/>
          <w:sz w:val="20"/>
          <w:szCs w:val="20"/>
        </w:rPr>
      </w:pPr>
      <w:r w:rsidRPr="00841374">
        <w:rPr>
          <w:rFonts w:ascii="Lato Light" w:eastAsia="Times New Roman" w:hAnsi="Lato Light" w:cs="Times New Roman"/>
          <w:color w:val="202020"/>
          <w:sz w:val="20"/>
          <w:szCs w:val="20"/>
        </w:rPr>
        <w:t xml:space="preserve">( From: </w:t>
      </w:r>
      <w:hyperlink r:id="rId17" w:history="1">
        <w:r w:rsidRPr="00841374">
          <w:rPr>
            <w:rStyle w:val="Hyperlink"/>
            <w:rFonts w:ascii="Lato Light" w:eastAsia="Times New Roman" w:hAnsi="Lato Light" w:cs="Times New Roman"/>
            <w:sz w:val="20"/>
            <w:szCs w:val="20"/>
          </w:rPr>
          <w:t>http://www.corestandards.org/other-resources/key-shifts-in-mathematics/</w:t>
        </w:r>
      </w:hyperlink>
      <w:r w:rsidRPr="00841374">
        <w:rPr>
          <w:rFonts w:ascii="Lato Light" w:eastAsia="Times New Roman" w:hAnsi="Lato Light" w:cs="Times New Roman"/>
          <w:color w:val="202020"/>
          <w:sz w:val="20"/>
          <w:szCs w:val="20"/>
        </w:rPr>
        <w:t xml:space="preserve"> )</w:t>
      </w:r>
    </w:p>
    <w:p w:rsidR="00B83B40" w:rsidRPr="00B83B40" w:rsidRDefault="00B83B40" w:rsidP="00B83B40">
      <w:pPr>
        <w:numPr>
          <w:ilvl w:val="0"/>
          <w:numId w:val="7"/>
        </w:numPr>
        <w:spacing w:before="240" w:after="240" w:line="302" w:lineRule="atLeast"/>
        <w:ind w:left="240"/>
        <w:rPr>
          <w:rFonts w:ascii="Lato Light" w:eastAsia="Times New Roman" w:hAnsi="Lato Light" w:cs="Times New Roman"/>
          <w:color w:val="202020"/>
          <w:sz w:val="20"/>
          <w:szCs w:val="20"/>
        </w:rPr>
      </w:pPr>
      <w:r w:rsidRPr="00841374">
        <w:rPr>
          <w:rFonts w:ascii="Lato Bold" w:eastAsia="Times New Roman" w:hAnsi="Lato Bold" w:cs="Times New Roman"/>
          <w:color w:val="202020"/>
          <w:sz w:val="32"/>
          <w:szCs w:val="32"/>
        </w:rPr>
        <w:t>Greater </w:t>
      </w:r>
      <w:r w:rsidRPr="00841374">
        <w:rPr>
          <w:rFonts w:ascii="Lato Bold" w:eastAsia="Times New Roman" w:hAnsi="Lato Bold" w:cs="Times New Roman"/>
          <w:color w:val="202020"/>
          <w:sz w:val="32"/>
          <w:szCs w:val="32"/>
          <w:u w:val="single"/>
        </w:rPr>
        <w:t>focus</w:t>
      </w:r>
      <w:r w:rsidRPr="00841374">
        <w:rPr>
          <w:rFonts w:ascii="Lato Bold" w:eastAsia="Times New Roman" w:hAnsi="Lato Bold" w:cs="Times New Roman"/>
          <w:color w:val="202020"/>
          <w:sz w:val="32"/>
          <w:szCs w:val="32"/>
        </w:rPr>
        <w:t> on fewer topics</w:t>
      </w:r>
      <w:r w:rsidR="00841374">
        <w:rPr>
          <w:rFonts w:ascii="Lato Bold" w:eastAsia="Times New Roman" w:hAnsi="Lato Bold" w:cs="Times New Roman"/>
          <w:color w:val="202020"/>
          <w:sz w:val="32"/>
          <w:szCs w:val="32"/>
        </w:rPr>
        <w:t xml:space="preserve">  </w:t>
      </w:r>
      <w:r w:rsidRPr="00B83B40">
        <w:rPr>
          <w:rFonts w:ascii="Lato Light" w:eastAsia="Times New Roman" w:hAnsi="Lato Light" w:cs="Times New Roman"/>
          <w:color w:val="202020"/>
          <w:sz w:val="20"/>
          <w:szCs w:val="20"/>
        </w:rPr>
        <w:t>The Common Core calls for greater focus in mathematics. Rather than racing to cover many topics in a mile-wide, inch-deep curriculum, the standards ask math teachers to significantly narrow and deepen the way time and energy are spent in the classroom. This means focusing deeply on the major work of each grade as follows:</w:t>
      </w:r>
    </w:p>
    <w:p w:rsidR="00B83B40" w:rsidRPr="00B83B40" w:rsidRDefault="00B83B40" w:rsidP="00B83B40">
      <w:pPr>
        <w:numPr>
          <w:ilvl w:val="1"/>
          <w:numId w:val="7"/>
        </w:numPr>
        <w:spacing w:before="100" w:beforeAutospacing="1" w:after="100" w:afterAutospacing="1"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In grades K–2: Concepts, skills, and problem solving related to addition and subtraction</w:t>
      </w:r>
    </w:p>
    <w:p w:rsidR="00B83B40" w:rsidRPr="00B83B40" w:rsidRDefault="00B83B40" w:rsidP="00B83B40">
      <w:pPr>
        <w:numPr>
          <w:ilvl w:val="1"/>
          <w:numId w:val="7"/>
        </w:numPr>
        <w:spacing w:before="100" w:beforeAutospacing="1" w:after="100" w:afterAutospacing="1"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In grades 3–5: Concepts, skills, and problem solving related to multiplication and division of whole numbers and fractions</w:t>
      </w:r>
    </w:p>
    <w:p w:rsidR="00B83B40" w:rsidRPr="00B83B40" w:rsidRDefault="00B83B40" w:rsidP="00B83B40">
      <w:pPr>
        <w:numPr>
          <w:ilvl w:val="1"/>
          <w:numId w:val="7"/>
        </w:numPr>
        <w:spacing w:before="100" w:beforeAutospacing="1" w:after="100" w:afterAutospacing="1"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In grade 6: Ratios and proportional relationships, and early algebraic expressions and equations</w:t>
      </w:r>
    </w:p>
    <w:p w:rsidR="00B83B40" w:rsidRPr="00B83B40" w:rsidRDefault="00B83B40" w:rsidP="00B83B40">
      <w:pPr>
        <w:numPr>
          <w:ilvl w:val="1"/>
          <w:numId w:val="7"/>
        </w:numPr>
        <w:spacing w:before="100" w:beforeAutospacing="1" w:after="100" w:afterAutospacing="1"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In grade 7: Ratios and proportional relationships, and arithmetic of rational numbers</w:t>
      </w:r>
    </w:p>
    <w:p w:rsidR="00B83B40" w:rsidRPr="00B83B40" w:rsidRDefault="00B83B40" w:rsidP="00B83B40">
      <w:pPr>
        <w:numPr>
          <w:ilvl w:val="1"/>
          <w:numId w:val="7"/>
        </w:numPr>
        <w:spacing w:before="100" w:beforeAutospacing="1" w:after="100" w:afterAutospacing="1"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In grade 8: Linear algebra and linear functions</w:t>
      </w:r>
    </w:p>
    <w:p w:rsidR="00B83B40" w:rsidRPr="00B83B40" w:rsidRDefault="00B83B40" w:rsidP="00B83B40">
      <w:pPr>
        <w:spacing w:before="240" w:after="240"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lastRenderedPageBreak/>
        <w:t>This focus will help students gain strong foundations, including a solid understanding of concepts, a high degree of procedural skill and fluency, and the ability to apply the math they know to solve problems inside and outside the classroom.</w:t>
      </w:r>
    </w:p>
    <w:p w:rsidR="00B83B40" w:rsidRPr="00B83B40" w:rsidRDefault="00B83B40" w:rsidP="00B83B40">
      <w:pPr>
        <w:numPr>
          <w:ilvl w:val="0"/>
          <w:numId w:val="7"/>
        </w:numPr>
        <w:spacing w:before="240" w:after="240" w:line="302" w:lineRule="atLeast"/>
        <w:ind w:left="240"/>
        <w:rPr>
          <w:rFonts w:ascii="Lato Light" w:eastAsia="Times New Roman" w:hAnsi="Lato Light" w:cs="Times New Roman"/>
          <w:color w:val="202020"/>
          <w:sz w:val="20"/>
          <w:szCs w:val="20"/>
        </w:rPr>
      </w:pPr>
      <w:r w:rsidRPr="00841374">
        <w:rPr>
          <w:rFonts w:ascii="Lato Bold" w:eastAsia="Times New Roman" w:hAnsi="Lato Bold" w:cs="Times New Roman"/>
          <w:color w:val="202020"/>
          <w:sz w:val="32"/>
          <w:szCs w:val="32"/>
          <w:u w:val="single"/>
        </w:rPr>
        <w:t>Coherence</w:t>
      </w:r>
      <w:r w:rsidRPr="00841374">
        <w:rPr>
          <w:rFonts w:ascii="Lato Bold" w:eastAsia="Times New Roman" w:hAnsi="Lato Bold" w:cs="Times New Roman"/>
          <w:color w:val="202020"/>
          <w:sz w:val="32"/>
          <w:szCs w:val="32"/>
        </w:rPr>
        <w:t>: Linking topics and thinking across grades</w:t>
      </w:r>
      <w:r w:rsidR="00841374" w:rsidRPr="00841374">
        <w:rPr>
          <w:rFonts w:ascii="Lato Bold" w:eastAsia="Times New Roman" w:hAnsi="Lato Bold" w:cs="Times New Roman"/>
          <w:color w:val="202020"/>
          <w:sz w:val="32"/>
          <w:szCs w:val="32"/>
        </w:rPr>
        <w:t xml:space="preserve">  </w:t>
      </w:r>
      <w:r w:rsidRPr="00B83B40">
        <w:rPr>
          <w:rFonts w:ascii="Lato Light" w:eastAsia="Times New Roman" w:hAnsi="Lato Light" w:cs="Times New Roman"/>
          <w:color w:val="202020"/>
          <w:sz w:val="20"/>
          <w:szCs w:val="20"/>
        </w:rPr>
        <w:t>Mathematics is not a list of disconnected topics, tricks, or mnemonics; it is a coherent body of knowledge made up of interconnected concepts. Therefore, the standards are designed around coherent progressions from grade to grade. Learning is carefully connected across grades so that students can build new understanding onto foundations built in previous years. For example, in 4</w:t>
      </w:r>
      <w:r w:rsidRPr="00B83B40">
        <w:rPr>
          <w:rFonts w:ascii="Lato Light" w:eastAsia="Times New Roman" w:hAnsi="Lato Light" w:cs="Times New Roman"/>
          <w:color w:val="202020"/>
          <w:sz w:val="20"/>
          <w:szCs w:val="20"/>
          <w:vertAlign w:val="superscript"/>
        </w:rPr>
        <w:t>th</w:t>
      </w:r>
      <w:r w:rsidRPr="00841374">
        <w:rPr>
          <w:rFonts w:ascii="Lato Light" w:eastAsia="Times New Roman" w:hAnsi="Lato Light" w:cs="Times New Roman"/>
          <w:color w:val="202020"/>
          <w:sz w:val="20"/>
          <w:szCs w:val="20"/>
        </w:rPr>
        <w:t> </w:t>
      </w:r>
      <w:r w:rsidRPr="00B83B40">
        <w:rPr>
          <w:rFonts w:ascii="Lato Light" w:eastAsia="Times New Roman" w:hAnsi="Lato Light" w:cs="Times New Roman"/>
          <w:color w:val="202020"/>
          <w:sz w:val="20"/>
          <w:szCs w:val="20"/>
        </w:rPr>
        <w:t>grade, students must “apply and extend previous understandings of multiplication to multiply a fraction by a whole number” (Standard 4.NF.4). This extends to 5</w:t>
      </w:r>
      <w:r w:rsidRPr="00B83B40">
        <w:rPr>
          <w:rFonts w:ascii="Lato Light" w:eastAsia="Times New Roman" w:hAnsi="Lato Light" w:cs="Times New Roman"/>
          <w:color w:val="202020"/>
          <w:sz w:val="20"/>
          <w:szCs w:val="20"/>
          <w:vertAlign w:val="superscript"/>
        </w:rPr>
        <w:t>th</w:t>
      </w:r>
      <w:r w:rsidRPr="00841374">
        <w:rPr>
          <w:rFonts w:ascii="Lato Light" w:eastAsia="Times New Roman" w:hAnsi="Lato Light" w:cs="Times New Roman"/>
          <w:color w:val="202020"/>
          <w:sz w:val="20"/>
          <w:szCs w:val="20"/>
        </w:rPr>
        <w:t> </w:t>
      </w:r>
      <w:r w:rsidRPr="00B83B40">
        <w:rPr>
          <w:rFonts w:ascii="Lato Light" w:eastAsia="Times New Roman" w:hAnsi="Lato Light" w:cs="Times New Roman"/>
          <w:color w:val="202020"/>
          <w:sz w:val="20"/>
          <w:szCs w:val="20"/>
        </w:rPr>
        <w:t>grade, when students are expected to build on that skill to “apply and extend previous understandings of multiplication to multiply a fraction or whole number by a fraction” (Standard 5.NF.4). Each standard is not a new event, but an extension of previous learning.</w:t>
      </w:r>
    </w:p>
    <w:p w:rsidR="00B83B40" w:rsidRPr="00B83B40" w:rsidRDefault="00B83B40" w:rsidP="00B83B40">
      <w:pPr>
        <w:spacing w:before="240" w:after="240"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color w:val="202020"/>
          <w:sz w:val="20"/>
          <w:szCs w:val="20"/>
        </w:rPr>
        <w:t>Coherence is also built into the standards in how they reinforce a major topic in a grade by utilizing supporting, complementary topics. For example, instead of presenting the topic of data displays as an end in itself, the topic is used to support grade-level word problems in which students apply mathematical skills to solve problems.</w:t>
      </w:r>
    </w:p>
    <w:p w:rsidR="00B83B40" w:rsidRPr="00B83B40" w:rsidRDefault="00B83B40" w:rsidP="00B83B40">
      <w:pPr>
        <w:numPr>
          <w:ilvl w:val="0"/>
          <w:numId w:val="7"/>
        </w:numPr>
        <w:spacing w:before="240" w:after="240" w:line="302" w:lineRule="atLeast"/>
        <w:ind w:left="240"/>
        <w:rPr>
          <w:rFonts w:ascii="Lato Light" w:eastAsia="Times New Roman" w:hAnsi="Lato Light" w:cs="Times New Roman"/>
          <w:color w:val="202020"/>
          <w:sz w:val="20"/>
          <w:szCs w:val="20"/>
        </w:rPr>
      </w:pPr>
      <w:r w:rsidRPr="00841374">
        <w:rPr>
          <w:rFonts w:ascii="Lato Bold" w:eastAsia="Times New Roman" w:hAnsi="Lato Bold" w:cs="Times New Roman"/>
          <w:color w:val="202020"/>
          <w:sz w:val="32"/>
          <w:szCs w:val="32"/>
          <w:u w:val="single"/>
        </w:rPr>
        <w:t>Rigor</w:t>
      </w:r>
      <w:r w:rsidRPr="00841374">
        <w:rPr>
          <w:rFonts w:ascii="Lato Bold" w:eastAsia="Times New Roman" w:hAnsi="Lato Bold" w:cs="Times New Roman"/>
          <w:color w:val="202020"/>
          <w:sz w:val="32"/>
          <w:szCs w:val="32"/>
        </w:rPr>
        <w:t>: Pursue conceptual understanding, procedural skills and fluency, and application with equal intensity</w:t>
      </w:r>
      <w:r w:rsidR="00841374" w:rsidRPr="00841374">
        <w:rPr>
          <w:rFonts w:ascii="Lato Bold" w:eastAsia="Times New Roman" w:hAnsi="Lato Bold" w:cs="Times New Roman"/>
          <w:color w:val="202020"/>
          <w:sz w:val="32"/>
          <w:szCs w:val="32"/>
        </w:rPr>
        <w:t xml:space="preserve">  </w:t>
      </w:r>
      <w:r w:rsidRPr="00B83B40">
        <w:rPr>
          <w:rFonts w:ascii="Lato Light" w:eastAsia="Times New Roman" w:hAnsi="Lato Light" w:cs="Times New Roman"/>
          <w:color w:val="202020"/>
          <w:sz w:val="20"/>
          <w:szCs w:val="20"/>
        </w:rPr>
        <w:t>Rigor refers to deep, authentic command of mathematical concepts, not making math harder or introducing topics at earlier grades. To help students meet the standards, educators will need to pursue, with equal intensity, three aspects of rigor in the major work of each grade: conceptual understanding, procedural skills and fluency, and application.</w:t>
      </w:r>
    </w:p>
    <w:p w:rsidR="00B83B40" w:rsidRPr="00B83B40" w:rsidRDefault="00B83B40" w:rsidP="00B83B40">
      <w:pPr>
        <w:spacing w:before="240" w:after="240"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i/>
          <w:iCs/>
          <w:color w:val="202020"/>
          <w:sz w:val="20"/>
          <w:szCs w:val="20"/>
        </w:rPr>
        <w:t>Conceptual understanding:</w:t>
      </w:r>
      <w:r w:rsidRPr="00B83B40">
        <w:rPr>
          <w:rFonts w:ascii="Lato Light" w:eastAsia="Times New Roman" w:hAnsi="Lato Light" w:cs="Times New Roman"/>
          <w:color w:val="202020"/>
          <w:sz w:val="20"/>
          <w:szCs w:val="20"/>
        </w:rPr>
        <w:t> The standards call for conceptual understanding of key concepts, such as place value and ratios. Students must be able to access concepts from a number of perspectives in order to see math as more than a set of mnemonics or discrete procedures.</w:t>
      </w:r>
    </w:p>
    <w:p w:rsidR="00B83B40" w:rsidRPr="00B83B40" w:rsidRDefault="00B83B40" w:rsidP="00B83B40">
      <w:pPr>
        <w:spacing w:before="240" w:after="240"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i/>
          <w:iCs/>
          <w:color w:val="202020"/>
          <w:sz w:val="20"/>
          <w:szCs w:val="20"/>
        </w:rPr>
        <w:t>Procedural skills and fluency:</w:t>
      </w:r>
      <w:r w:rsidRPr="00B83B40">
        <w:rPr>
          <w:rFonts w:ascii="Lato Light" w:eastAsia="Times New Roman" w:hAnsi="Lato Light" w:cs="Times New Roman"/>
          <w:color w:val="202020"/>
          <w:sz w:val="20"/>
          <w:szCs w:val="20"/>
        </w:rPr>
        <w:t> The standards call for speed and accuracy in calculation. Students must practice core functions, such as single-digit multiplication, in order to have access to more complex concepts and procedures. Fluency must be addressed in the classroom or through supporting materials, as some students might require more practice than others.</w:t>
      </w:r>
    </w:p>
    <w:p w:rsidR="00B83B40" w:rsidRPr="00B83B40" w:rsidRDefault="00B83B40" w:rsidP="00B83B40">
      <w:pPr>
        <w:spacing w:before="240" w:after="240" w:line="302" w:lineRule="atLeast"/>
        <w:ind w:left="240"/>
        <w:rPr>
          <w:rFonts w:ascii="Lato Light" w:eastAsia="Times New Roman" w:hAnsi="Lato Light" w:cs="Times New Roman"/>
          <w:color w:val="202020"/>
          <w:sz w:val="20"/>
          <w:szCs w:val="20"/>
        </w:rPr>
      </w:pPr>
      <w:r w:rsidRPr="00B83B40">
        <w:rPr>
          <w:rFonts w:ascii="Lato Light" w:eastAsia="Times New Roman" w:hAnsi="Lato Light" w:cs="Times New Roman"/>
          <w:i/>
          <w:iCs/>
          <w:color w:val="202020"/>
          <w:sz w:val="20"/>
          <w:szCs w:val="20"/>
        </w:rPr>
        <w:t>Application:</w:t>
      </w:r>
      <w:r w:rsidRPr="00B83B40">
        <w:rPr>
          <w:rFonts w:ascii="Lato Light" w:eastAsia="Times New Roman" w:hAnsi="Lato Light" w:cs="Times New Roman"/>
          <w:color w:val="202020"/>
          <w:sz w:val="20"/>
          <w:szCs w:val="20"/>
        </w:rPr>
        <w:t> The standards call for students to use math in situations that require mathematical knowledge. Correctly applying mathematical knowledge depends on students having a solid conceptual understanding and procedural fluency.</w:t>
      </w:r>
    </w:p>
    <w:p w:rsidR="00FA5EFD" w:rsidRDefault="00FA5EFD">
      <w:pPr>
        <w:rPr>
          <w:sz w:val="48"/>
        </w:rPr>
      </w:pPr>
    </w:p>
    <w:p w:rsidR="008C6F1A" w:rsidRPr="00870322" w:rsidRDefault="008C6F1A" w:rsidP="00FA5EFD">
      <w:pPr>
        <w:pStyle w:val="NoSpacing"/>
        <w:ind w:left="810"/>
        <w:rPr>
          <w:sz w:val="48"/>
        </w:rPr>
      </w:pPr>
    </w:p>
    <w:sectPr w:rsidR="008C6F1A" w:rsidRPr="00870322" w:rsidSect="004A410A">
      <w:pgSz w:w="12240" w:h="15840"/>
      <w:pgMar w:top="630" w:right="45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2BA"/>
    <w:multiLevelType w:val="hybridMultilevel"/>
    <w:tmpl w:val="0F3A9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21842"/>
    <w:multiLevelType w:val="hybridMultilevel"/>
    <w:tmpl w:val="88C0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C3F61"/>
    <w:multiLevelType w:val="hybridMultilevel"/>
    <w:tmpl w:val="40D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12DF4"/>
    <w:multiLevelType w:val="hybridMultilevel"/>
    <w:tmpl w:val="5DBC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E3881"/>
    <w:multiLevelType w:val="multilevel"/>
    <w:tmpl w:val="C980D1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3E54D1"/>
    <w:multiLevelType w:val="hybridMultilevel"/>
    <w:tmpl w:val="287A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E25A2"/>
    <w:multiLevelType w:val="hybridMultilevel"/>
    <w:tmpl w:val="F4CA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2C"/>
    <w:rsid w:val="000269DE"/>
    <w:rsid w:val="00083E67"/>
    <w:rsid w:val="000F5DCC"/>
    <w:rsid w:val="00107C54"/>
    <w:rsid w:val="001B7BE0"/>
    <w:rsid w:val="00270100"/>
    <w:rsid w:val="0027413E"/>
    <w:rsid w:val="00282B8B"/>
    <w:rsid w:val="003A1D2C"/>
    <w:rsid w:val="0046532C"/>
    <w:rsid w:val="00480D7E"/>
    <w:rsid w:val="00497E8E"/>
    <w:rsid w:val="004A410A"/>
    <w:rsid w:val="004B3959"/>
    <w:rsid w:val="005E2CD1"/>
    <w:rsid w:val="00663B01"/>
    <w:rsid w:val="006F5203"/>
    <w:rsid w:val="007D3257"/>
    <w:rsid w:val="00841374"/>
    <w:rsid w:val="00870322"/>
    <w:rsid w:val="00891993"/>
    <w:rsid w:val="008C6F1A"/>
    <w:rsid w:val="008D0C60"/>
    <w:rsid w:val="008D4063"/>
    <w:rsid w:val="00996764"/>
    <w:rsid w:val="00A7679B"/>
    <w:rsid w:val="00AC1E3C"/>
    <w:rsid w:val="00B83B40"/>
    <w:rsid w:val="00BE731E"/>
    <w:rsid w:val="00CA29B0"/>
    <w:rsid w:val="00CD49D5"/>
    <w:rsid w:val="00DB3D6E"/>
    <w:rsid w:val="00DC59C3"/>
    <w:rsid w:val="00E4687B"/>
    <w:rsid w:val="00FA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00"/>
    <w:rPr>
      <w:rFonts w:ascii="Tahoma" w:hAnsi="Tahoma" w:cs="Tahoma"/>
      <w:sz w:val="16"/>
      <w:szCs w:val="16"/>
    </w:rPr>
  </w:style>
  <w:style w:type="paragraph" w:styleId="NoSpacing">
    <w:name w:val="No Spacing"/>
    <w:uiPriority w:val="1"/>
    <w:qFormat/>
    <w:rsid w:val="0027413E"/>
    <w:pPr>
      <w:spacing w:after="0" w:line="240" w:lineRule="auto"/>
    </w:pPr>
  </w:style>
  <w:style w:type="paragraph" w:customStyle="1" w:styleId="BodyA">
    <w:name w:val="Body A"/>
    <w:rsid w:val="00BE73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BE731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ableGrid1">
    <w:name w:val="Table Grid1"/>
    <w:rsid w:val="00BE731E"/>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rPr>
  </w:style>
  <w:style w:type="paragraph" w:customStyle="1" w:styleId="TableStyle2">
    <w:name w:val="Table Style 2"/>
    <w:rsid w:val="00BE731E"/>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character" w:styleId="Hyperlink">
    <w:name w:val="Hyperlink"/>
    <w:basedOn w:val="DefaultParagraphFont"/>
    <w:uiPriority w:val="99"/>
    <w:unhideWhenUsed/>
    <w:rsid w:val="00DC59C3"/>
    <w:rPr>
      <w:color w:val="0000FF" w:themeColor="hyperlink"/>
      <w:u w:val="single"/>
    </w:rPr>
  </w:style>
  <w:style w:type="character" w:customStyle="1" w:styleId="Heading1Char">
    <w:name w:val="Heading 1 Char"/>
    <w:basedOn w:val="DefaultParagraphFont"/>
    <w:link w:val="Heading1"/>
    <w:uiPriority w:val="9"/>
    <w:rsid w:val="004A410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A410A"/>
    <w:rPr>
      <w:color w:val="800080" w:themeColor="followedHyperlink"/>
      <w:u w:val="single"/>
    </w:rPr>
  </w:style>
  <w:style w:type="paragraph" w:styleId="ListParagraph">
    <w:name w:val="List Paragraph"/>
    <w:basedOn w:val="Normal"/>
    <w:uiPriority w:val="34"/>
    <w:qFormat/>
    <w:rsid w:val="008C6F1A"/>
    <w:pPr>
      <w:ind w:left="720"/>
      <w:contextualSpacing/>
    </w:pPr>
  </w:style>
  <w:style w:type="paragraph" w:styleId="NormalWeb">
    <w:name w:val="Normal (Web)"/>
    <w:basedOn w:val="Normal"/>
    <w:uiPriority w:val="99"/>
    <w:semiHidden/>
    <w:unhideWhenUsed/>
    <w:rsid w:val="00B83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B40"/>
    <w:rPr>
      <w:b/>
      <w:bCs/>
    </w:rPr>
  </w:style>
  <w:style w:type="character" w:customStyle="1" w:styleId="apple-converted-space">
    <w:name w:val="apple-converted-space"/>
    <w:basedOn w:val="DefaultParagraphFont"/>
    <w:rsid w:val="00B83B40"/>
  </w:style>
  <w:style w:type="character" w:styleId="Emphasis">
    <w:name w:val="Emphasis"/>
    <w:basedOn w:val="DefaultParagraphFont"/>
    <w:uiPriority w:val="20"/>
    <w:qFormat/>
    <w:rsid w:val="00B83B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00"/>
    <w:rPr>
      <w:rFonts w:ascii="Tahoma" w:hAnsi="Tahoma" w:cs="Tahoma"/>
      <w:sz w:val="16"/>
      <w:szCs w:val="16"/>
    </w:rPr>
  </w:style>
  <w:style w:type="paragraph" w:styleId="NoSpacing">
    <w:name w:val="No Spacing"/>
    <w:uiPriority w:val="1"/>
    <w:qFormat/>
    <w:rsid w:val="0027413E"/>
    <w:pPr>
      <w:spacing w:after="0" w:line="240" w:lineRule="auto"/>
    </w:pPr>
  </w:style>
  <w:style w:type="paragraph" w:customStyle="1" w:styleId="BodyA">
    <w:name w:val="Body A"/>
    <w:rsid w:val="00BE73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
    <w:name w:val="Body"/>
    <w:rsid w:val="00BE731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ableGrid1">
    <w:name w:val="Table Grid1"/>
    <w:rsid w:val="00BE731E"/>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rPr>
  </w:style>
  <w:style w:type="paragraph" w:customStyle="1" w:styleId="TableStyle2">
    <w:name w:val="Table Style 2"/>
    <w:rsid w:val="00BE731E"/>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character" w:styleId="Hyperlink">
    <w:name w:val="Hyperlink"/>
    <w:basedOn w:val="DefaultParagraphFont"/>
    <w:uiPriority w:val="99"/>
    <w:unhideWhenUsed/>
    <w:rsid w:val="00DC59C3"/>
    <w:rPr>
      <w:color w:val="0000FF" w:themeColor="hyperlink"/>
      <w:u w:val="single"/>
    </w:rPr>
  </w:style>
  <w:style w:type="character" w:customStyle="1" w:styleId="Heading1Char">
    <w:name w:val="Heading 1 Char"/>
    <w:basedOn w:val="DefaultParagraphFont"/>
    <w:link w:val="Heading1"/>
    <w:uiPriority w:val="9"/>
    <w:rsid w:val="004A410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A410A"/>
    <w:rPr>
      <w:color w:val="800080" w:themeColor="followedHyperlink"/>
      <w:u w:val="single"/>
    </w:rPr>
  </w:style>
  <w:style w:type="paragraph" w:styleId="ListParagraph">
    <w:name w:val="List Paragraph"/>
    <w:basedOn w:val="Normal"/>
    <w:uiPriority w:val="34"/>
    <w:qFormat/>
    <w:rsid w:val="008C6F1A"/>
    <w:pPr>
      <w:ind w:left="720"/>
      <w:contextualSpacing/>
    </w:pPr>
  </w:style>
  <w:style w:type="paragraph" w:styleId="NormalWeb">
    <w:name w:val="Normal (Web)"/>
    <w:basedOn w:val="Normal"/>
    <w:uiPriority w:val="99"/>
    <w:semiHidden/>
    <w:unhideWhenUsed/>
    <w:rsid w:val="00B83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B40"/>
    <w:rPr>
      <w:b/>
      <w:bCs/>
    </w:rPr>
  </w:style>
  <w:style w:type="character" w:customStyle="1" w:styleId="apple-converted-space">
    <w:name w:val="apple-converted-space"/>
    <w:basedOn w:val="DefaultParagraphFont"/>
    <w:rsid w:val="00B83B40"/>
  </w:style>
  <w:style w:type="character" w:styleId="Emphasis">
    <w:name w:val="Emphasis"/>
    <w:basedOn w:val="DefaultParagraphFont"/>
    <w:uiPriority w:val="20"/>
    <w:qFormat/>
    <w:rsid w:val="00B83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mzsnmT" TargetMode="External"/><Relationship Id="rId13" Type="http://schemas.openxmlformats.org/officeDocument/2006/relationships/hyperlink" Target="http://commoncoretools.me/wp-content/uploads/2011/02/ccssi_math_standards_hyperlinked_1-0.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nsidemathematics.org/index.php/7th-grade" TargetMode="External"/><Relationship Id="rId17" Type="http://schemas.openxmlformats.org/officeDocument/2006/relationships/hyperlink" Target="http://www.corestandards.org/other-resources/key-shifts-in-mathematics/"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p.mathshell.org/materials/lessons.php" TargetMode="External"/><Relationship Id="rId5" Type="http://schemas.openxmlformats.org/officeDocument/2006/relationships/webSettings" Target="webSettings.xml"/><Relationship Id="rId15" Type="http://schemas.openxmlformats.org/officeDocument/2006/relationships/hyperlink" Target="http://matheducation-thenextfiveyears.wikispaces.com/Common+Core+Standards" TargetMode="External"/><Relationship Id="rId10" Type="http://schemas.openxmlformats.org/officeDocument/2006/relationships/hyperlink" Target="https://www.illustrativemathematics.org/illustrations/15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mathshell.org/materials/index.php" TargetMode="External"/><Relationship Id="rId14" Type="http://schemas.openxmlformats.org/officeDocument/2006/relationships/hyperlink" Target="http://bit.ly/1jIde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Mike - Office of Next Generation Learners</dc:creator>
  <cp:lastModifiedBy>Renee' Yates</cp:lastModifiedBy>
  <cp:revision>2</cp:revision>
  <cp:lastPrinted>2014-05-09T16:07:00Z</cp:lastPrinted>
  <dcterms:created xsi:type="dcterms:W3CDTF">2014-05-14T12:28:00Z</dcterms:created>
  <dcterms:modified xsi:type="dcterms:W3CDTF">2014-05-14T12:28:00Z</dcterms:modified>
</cp:coreProperties>
</file>