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5B73" w:rsidRPr="00825B73" w:rsidRDefault="00BB5F38">
      <w:pPr>
        <w:rPr>
          <w:b/>
        </w:rPr>
      </w:pPr>
      <w:bookmarkStart w:id="0" w:name="_GoBack"/>
      <w:bookmarkEnd w:id="0"/>
      <w:r>
        <w:rPr>
          <w:b/>
        </w:rPr>
        <w:t xml:space="preserve">Aligning </w:t>
      </w:r>
      <w:r w:rsidR="00825B73" w:rsidRPr="00825B73">
        <w:rPr>
          <w:b/>
        </w:rPr>
        <w:t>MDC Practices with TPGES</w:t>
      </w:r>
    </w:p>
    <w:p w:rsidR="00B23934" w:rsidRPr="00B23934" w:rsidRDefault="00B23934">
      <w:r>
        <w:t>Using the Frame</w:t>
      </w:r>
      <w:r w:rsidR="00C76DDA">
        <w:t xml:space="preserve">work for Teaching, identify </w:t>
      </w:r>
      <w:r>
        <w:t xml:space="preserve">MDC practices that exemplify the </w:t>
      </w:r>
      <w:r w:rsidR="000B2D1A">
        <w:t xml:space="preserve">Accomplished &amp; Exemplary </w:t>
      </w:r>
      <w:r>
        <w:t>performance levels.</w:t>
      </w:r>
      <w:r w:rsidR="008514C7">
        <w:t xml:space="preserve">  </w:t>
      </w:r>
      <w:r w:rsidRPr="00B23934">
        <w:rPr>
          <w:sz w:val="28"/>
          <w:szCs w:val="28"/>
        </w:rPr>
        <w:t xml:space="preserve"> </w:t>
      </w:r>
    </w:p>
    <w:tbl>
      <w:tblPr>
        <w:tblStyle w:val="TableGrid"/>
        <w:tblW w:w="14148" w:type="dxa"/>
        <w:tblLook w:val="04A0" w:firstRow="1" w:lastRow="0" w:firstColumn="1" w:lastColumn="0" w:noHBand="0" w:noVBand="1"/>
      </w:tblPr>
      <w:tblGrid>
        <w:gridCol w:w="6768"/>
        <w:gridCol w:w="7380"/>
      </w:tblGrid>
      <w:tr w:rsidR="00561DF2" w:rsidRPr="00B23934" w:rsidTr="000B5806">
        <w:tc>
          <w:tcPr>
            <w:tcW w:w="14148" w:type="dxa"/>
            <w:gridSpan w:val="2"/>
          </w:tcPr>
          <w:p w:rsidR="00561DF2" w:rsidRPr="00B54037" w:rsidRDefault="00561DF2" w:rsidP="00C76DDA">
            <w:pPr>
              <w:rPr>
                <w:b/>
                <w:sz w:val="32"/>
                <w:szCs w:val="32"/>
              </w:rPr>
            </w:pPr>
            <w:r>
              <w:rPr>
                <w:b/>
                <w:sz w:val="28"/>
                <w:szCs w:val="28"/>
              </w:rPr>
              <w:t xml:space="preserve">Domain:   </w:t>
            </w:r>
            <w:r w:rsidRPr="00B54037">
              <w:rPr>
                <w:rFonts w:ascii="Batang" w:eastAsia="Batang" w:hAnsi="Batang"/>
                <w:sz w:val="32"/>
                <w:szCs w:val="32"/>
              </w:rPr>
              <w:t>1-Planning &amp; Preparation</w:t>
            </w:r>
          </w:p>
          <w:p w:rsidR="00561DF2" w:rsidRPr="00B23934" w:rsidRDefault="00561DF2" w:rsidP="00B54037">
            <w:pPr>
              <w:rPr>
                <w:b/>
                <w:sz w:val="28"/>
                <w:szCs w:val="28"/>
              </w:rPr>
            </w:pPr>
            <w:r w:rsidRPr="00B23934">
              <w:rPr>
                <w:b/>
                <w:sz w:val="28"/>
                <w:szCs w:val="28"/>
              </w:rPr>
              <w:t>Component</w:t>
            </w:r>
            <w:r>
              <w:rPr>
                <w:b/>
                <w:sz w:val="28"/>
                <w:szCs w:val="28"/>
              </w:rPr>
              <w:t xml:space="preserve">:  </w:t>
            </w:r>
            <w:r w:rsidRPr="00B54037">
              <w:rPr>
                <w:rFonts w:ascii="Batang" w:eastAsia="Batang" w:hAnsi="Batang"/>
                <w:sz w:val="32"/>
                <w:szCs w:val="32"/>
              </w:rPr>
              <w:t>1E-Designing Coherent Instruction</w:t>
            </w:r>
          </w:p>
        </w:tc>
      </w:tr>
      <w:tr w:rsidR="00C76DDA" w:rsidRPr="00B23934" w:rsidTr="00C76DDA">
        <w:tc>
          <w:tcPr>
            <w:tcW w:w="6768" w:type="dxa"/>
          </w:tcPr>
          <w:p w:rsidR="00C76DDA" w:rsidRDefault="00C76DDA" w:rsidP="00C76DDA">
            <w:pPr>
              <w:jc w:val="center"/>
              <w:rPr>
                <w:b/>
                <w:sz w:val="28"/>
                <w:szCs w:val="28"/>
              </w:rPr>
            </w:pPr>
          </w:p>
          <w:p w:rsidR="00C76DDA" w:rsidRPr="00B23934" w:rsidRDefault="00C76DDA" w:rsidP="00C76DDA">
            <w:pPr>
              <w:jc w:val="center"/>
              <w:rPr>
                <w:b/>
                <w:sz w:val="28"/>
                <w:szCs w:val="28"/>
              </w:rPr>
            </w:pPr>
            <w:r w:rsidRPr="00B23934">
              <w:rPr>
                <w:b/>
                <w:sz w:val="28"/>
                <w:szCs w:val="28"/>
              </w:rPr>
              <w:t>Accomplished</w:t>
            </w:r>
          </w:p>
        </w:tc>
        <w:tc>
          <w:tcPr>
            <w:tcW w:w="7380" w:type="dxa"/>
          </w:tcPr>
          <w:p w:rsidR="00C76DDA" w:rsidRDefault="00C76DDA" w:rsidP="00C76DDA">
            <w:pPr>
              <w:jc w:val="center"/>
              <w:rPr>
                <w:b/>
                <w:sz w:val="28"/>
                <w:szCs w:val="28"/>
              </w:rPr>
            </w:pPr>
          </w:p>
          <w:p w:rsidR="00C76DDA" w:rsidRPr="00B23934" w:rsidRDefault="00C76DDA" w:rsidP="00C76DDA">
            <w:pPr>
              <w:jc w:val="center"/>
              <w:rPr>
                <w:b/>
                <w:sz w:val="28"/>
                <w:szCs w:val="28"/>
              </w:rPr>
            </w:pPr>
            <w:r w:rsidRPr="00B23934">
              <w:rPr>
                <w:b/>
                <w:sz w:val="28"/>
                <w:szCs w:val="28"/>
              </w:rPr>
              <w:t>Exemplary</w:t>
            </w:r>
          </w:p>
        </w:tc>
      </w:tr>
      <w:tr w:rsidR="00C76DDA" w:rsidTr="00FA7313">
        <w:trPr>
          <w:trHeight w:val="6982"/>
        </w:trPr>
        <w:tc>
          <w:tcPr>
            <w:tcW w:w="6768" w:type="dxa"/>
          </w:tcPr>
          <w:p w:rsidR="00C76DDA" w:rsidRPr="0090780D" w:rsidRDefault="0090780D">
            <w:pPr>
              <w:rPr>
                <w:rFonts w:ascii="Batang" w:eastAsia="Batang" w:hAnsi="Batang"/>
                <w:b/>
                <w:sz w:val="28"/>
                <w:szCs w:val="28"/>
              </w:rPr>
            </w:pPr>
            <w:r w:rsidRPr="0090780D">
              <w:rPr>
                <w:rFonts w:ascii="Batang" w:eastAsia="Batang" w:hAnsi="Batang"/>
                <w:b/>
                <w:sz w:val="28"/>
                <w:szCs w:val="28"/>
              </w:rPr>
              <w:t xml:space="preserve">Formative assessment lessons (FALs) are aligned to instructional outcomes. </w:t>
            </w:r>
          </w:p>
          <w:p w:rsidR="00C76DDA" w:rsidRPr="0090780D" w:rsidRDefault="00C76DDA">
            <w:pPr>
              <w:rPr>
                <w:rFonts w:ascii="Batang" w:eastAsia="Batang" w:hAnsi="Batang"/>
                <w:b/>
                <w:sz w:val="28"/>
                <w:szCs w:val="28"/>
              </w:rPr>
            </w:pPr>
          </w:p>
          <w:p w:rsidR="00C76DDA" w:rsidRPr="0090780D" w:rsidRDefault="00561DF2">
            <w:pPr>
              <w:rPr>
                <w:rFonts w:ascii="Batang" w:eastAsia="Batang" w:hAnsi="Batang"/>
                <w:b/>
                <w:sz w:val="28"/>
                <w:szCs w:val="28"/>
              </w:rPr>
            </w:pPr>
            <w:r w:rsidRPr="0090780D">
              <w:rPr>
                <w:rFonts w:ascii="Batang" w:eastAsia="Batang" w:hAnsi="Batang"/>
                <w:b/>
                <w:sz w:val="28"/>
                <w:szCs w:val="28"/>
              </w:rPr>
              <w:t>F</w:t>
            </w:r>
            <w:r w:rsidR="00B54037">
              <w:rPr>
                <w:rFonts w:ascii="Batang" w:eastAsia="Batang" w:hAnsi="Batang"/>
                <w:b/>
                <w:sz w:val="28"/>
                <w:szCs w:val="28"/>
              </w:rPr>
              <w:t>ALs</w:t>
            </w:r>
            <w:r w:rsidRPr="0090780D">
              <w:rPr>
                <w:rFonts w:ascii="Batang" w:eastAsia="Batang" w:hAnsi="Batang"/>
                <w:b/>
                <w:sz w:val="28"/>
                <w:szCs w:val="28"/>
              </w:rPr>
              <w:t xml:space="preserve"> are structured to have reasonable time allocations.</w:t>
            </w:r>
          </w:p>
          <w:p w:rsidR="00561DF2" w:rsidRPr="0090780D" w:rsidRDefault="00561DF2">
            <w:pPr>
              <w:rPr>
                <w:rFonts w:ascii="Batang" w:eastAsia="Batang" w:hAnsi="Batang"/>
                <w:b/>
                <w:sz w:val="28"/>
                <w:szCs w:val="28"/>
              </w:rPr>
            </w:pPr>
          </w:p>
          <w:p w:rsidR="00561DF2" w:rsidRPr="0090780D" w:rsidRDefault="00561DF2">
            <w:pPr>
              <w:rPr>
                <w:rFonts w:ascii="Batang" w:eastAsia="Batang" w:hAnsi="Batang"/>
                <w:b/>
                <w:sz w:val="28"/>
                <w:szCs w:val="28"/>
              </w:rPr>
            </w:pPr>
            <w:r w:rsidRPr="0090780D">
              <w:rPr>
                <w:rFonts w:ascii="Batang" w:eastAsia="Batang" w:hAnsi="Batang"/>
                <w:b/>
                <w:sz w:val="28"/>
                <w:szCs w:val="28"/>
              </w:rPr>
              <w:t>F</w:t>
            </w:r>
            <w:r w:rsidR="00B54037">
              <w:rPr>
                <w:rFonts w:ascii="Batang" w:eastAsia="Batang" w:hAnsi="Batang"/>
                <w:b/>
                <w:sz w:val="28"/>
                <w:szCs w:val="28"/>
              </w:rPr>
              <w:t xml:space="preserve">ALs </w:t>
            </w:r>
            <w:r w:rsidRPr="0090780D">
              <w:rPr>
                <w:rFonts w:ascii="Batang" w:eastAsia="Batang" w:hAnsi="Batang"/>
                <w:b/>
                <w:sz w:val="28"/>
                <w:szCs w:val="28"/>
              </w:rPr>
              <w:t>are cognitively challenging to students.</w:t>
            </w:r>
          </w:p>
          <w:p w:rsidR="00561DF2" w:rsidRPr="0090780D" w:rsidRDefault="00561DF2">
            <w:pPr>
              <w:rPr>
                <w:rFonts w:ascii="Batang" w:eastAsia="Batang" w:hAnsi="Batang"/>
                <w:b/>
                <w:sz w:val="28"/>
                <w:szCs w:val="28"/>
              </w:rPr>
            </w:pPr>
          </w:p>
          <w:p w:rsidR="00561DF2" w:rsidRPr="0090780D" w:rsidRDefault="00561DF2">
            <w:pPr>
              <w:rPr>
                <w:rFonts w:ascii="Batang" w:eastAsia="Batang" w:hAnsi="Batang"/>
                <w:b/>
                <w:sz w:val="28"/>
                <w:szCs w:val="28"/>
              </w:rPr>
            </w:pPr>
            <w:r w:rsidRPr="0090780D">
              <w:rPr>
                <w:rFonts w:ascii="Batang" w:eastAsia="Batang" w:hAnsi="Batang"/>
                <w:b/>
                <w:sz w:val="28"/>
                <w:szCs w:val="28"/>
              </w:rPr>
              <w:t>F</w:t>
            </w:r>
            <w:r w:rsidR="00B54037">
              <w:rPr>
                <w:rFonts w:ascii="Batang" w:eastAsia="Batang" w:hAnsi="Batang"/>
                <w:b/>
                <w:sz w:val="28"/>
                <w:szCs w:val="28"/>
              </w:rPr>
              <w:t>ALs</w:t>
            </w:r>
            <w:r w:rsidRPr="0090780D">
              <w:rPr>
                <w:rFonts w:ascii="Batang" w:eastAsia="Batang" w:hAnsi="Batang"/>
                <w:b/>
                <w:sz w:val="28"/>
                <w:szCs w:val="28"/>
              </w:rPr>
              <w:t xml:space="preserve"> allow for differentiation through grouping, feedback questions, collaborative work expectations. </w:t>
            </w:r>
          </w:p>
          <w:p w:rsidR="00561DF2" w:rsidRPr="0090780D" w:rsidRDefault="00561DF2">
            <w:pPr>
              <w:rPr>
                <w:rFonts w:ascii="Batang" w:eastAsia="Batang" w:hAnsi="Batang"/>
                <w:b/>
                <w:sz w:val="28"/>
                <w:szCs w:val="28"/>
              </w:rPr>
            </w:pPr>
          </w:p>
          <w:p w:rsidR="00561DF2" w:rsidRPr="0090780D" w:rsidRDefault="00561DF2">
            <w:pPr>
              <w:rPr>
                <w:rFonts w:ascii="Batang" w:eastAsia="Batang" w:hAnsi="Batang"/>
                <w:b/>
                <w:sz w:val="28"/>
                <w:szCs w:val="28"/>
              </w:rPr>
            </w:pPr>
            <w:r w:rsidRPr="0090780D">
              <w:rPr>
                <w:rFonts w:ascii="Batang" w:eastAsia="Batang" w:hAnsi="Batang"/>
                <w:b/>
                <w:sz w:val="28"/>
                <w:szCs w:val="28"/>
              </w:rPr>
              <w:t>F</w:t>
            </w:r>
            <w:r w:rsidR="00B54037">
              <w:rPr>
                <w:rFonts w:ascii="Batang" w:eastAsia="Batang" w:hAnsi="Batang"/>
                <w:b/>
                <w:sz w:val="28"/>
                <w:szCs w:val="28"/>
              </w:rPr>
              <w:t>ALs</w:t>
            </w:r>
            <w:r w:rsidRPr="0090780D">
              <w:rPr>
                <w:rFonts w:ascii="Batang" w:eastAsia="Batang" w:hAnsi="Batang"/>
                <w:b/>
                <w:sz w:val="28"/>
                <w:szCs w:val="28"/>
              </w:rPr>
              <w:t xml:space="preserve"> have a clear structure including the use of instructional groups. </w:t>
            </w:r>
          </w:p>
          <w:p w:rsidR="00561DF2" w:rsidRPr="0090780D" w:rsidRDefault="00561DF2">
            <w:pPr>
              <w:rPr>
                <w:rFonts w:ascii="Batang" w:eastAsia="Batang" w:hAnsi="Batang"/>
                <w:b/>
                <w:sz w:val="28"/>
                <w:szCs w:val="28"/>
              </w:rPr>
            </w:pPr>
          </w:p>
          <w:p w:rsidR="00B54037" w:rsidRDefault="009A244E" w:rsidP="00165538">
            <w:r w:rsidRPr="0090780D">
              <w:rPr>
                <w:rFonts w:ascii="Batang" w:eastAsia="Batang" w:hAnsi="Batang"/>
                <w:b/>
                <w:sz w:val="28"/>
                <w:szCs w:val="28"/>
              </w:rPr>
              <w:t>Extending beyond the FALs to the design of daily practice around the 5 strategies for formative assessment</w:t>
            </w:r>
            <w:r w:rsidR="0090780D" w:rsidRPr="0090780D">
              <w:rPr>
                <w:rFonts w:ascii="Batang" w:eastAsia="Batang" w:hAnsi="Batang"/>
                <w:b/>
                <w:sz w:val="28"/>
                <w:szCs w:val="28"/>
              </w:rPr>
              <w:t xml:space="preserve"> also meets accomplished as we design lessons that are aligned to instructional outcomes, plan for student discussion, and design opportunities for students to be instructional resources for each other and own their own learning.</w:t>
            </w:r>
          </w:p>
        </w:tc>
        <w:tc>
          <w:tcPr>
            <w:tcW w:w="7380" w:type="dxa"/>
          </w:tcPr>
          <w:p w:rsidR="00C76DDA" w:rsidRDefault="00795511">
            <w:pPr>
              <w:rPr>
                <w:rFonts w:ascii="Batang" w:eastAsia="Batang" w:hAnsi="Batang"/>
                <w:b/>
                <w:sz w:val="28"/>
                <w:szCs w:val="28"/>
              </w:rPr>
            </w:pPr>
            <w:r>
              <w:rPr>
                <w:rFonts w:ascii="Batang" w:eastAsia="Batang" w:hAnsi="Batang"/>
                <w:b/>
                <w:sz w:val="28"/>
                <w:szCs w:val="28"/>
              </w:rPr>
              <w:t xml:space="preserve">FALs engage students in high-level cognitive activity when we help students learn to struggle productively with mathematics. </w:t>
            </w:r>
          </w:p>
          <w:p w:rsidR="00795511" w:rsidRDefault="00795511">
            <w:pPr>
              <w:rPr>
                <w:rFonts w:ascii="Batang" w:eastAsia="Batang" w:hAnsi="Batang"/>
                <w:b/>
                <w:sz w:val="28"/>
                <w:szCs w:val="28"/>
              </w:rPr>
            </w:pPr>
          </w:p>
          <w:p w:rsidR="00795511" w:rsidRDefault="00795511">
            <w:pPr>
              <w:rPr>
                <w:rFonts w:ascii="Batang" w:eastAsia="Batang" w:hAnsi="Batang"/>
                <w:b/>
                <w:sz w:val="28"/>
                <w:szCs w:val="28"/>
              </w:rPr>
            </w:pPr>
            <w:r>
              <w:rPr>
                <w:rFonts w:ascii="Batang" w:eastAsia="Batang" w:hAnsi="Batang"/>
                <w:b/>
                <w:sz w:val="28"/>
                <w:szCs w:val="28"/>
              </w:rPr>
              <w:t>FALs provide opportunities for student choice as students select from a variety of ways to solve problems or approach a task.</w:t>
            </w:r>
          </w:p>
          <w:p w:rsidR="00795511" w:rsidRDefault="00795511">
            <w:pPr>
              <w:rPr>
                <w:rFonts w:ascii="Batang" w:eastAsia="Batang" w:hAnsi="Batang"/>
                <w:b/>
                <w:sz w:val="28"/>
                <w:szCs w:val="28"/>
              </w:rPr>
            </w:pPr>
          </w:p>
          <w:p w:rsidR="00C76DDA" w:rsidRDefault="00795511">
            <w:pPr>
              <w:rPr>
                <w:rFonts w:ascii="Batang" w:eastAsia="Batang" w:hAnsi="Batang"/>
                <w:b/>
                <w:sz w:val="28"/>
                <w:szCs w:val="28"/>
              </w:rPr>
            </w:pPr>
            <w:r>
              <w:rPr>
                <w:rFonts w:ascii="Batang" w:eastAsia="Batang" w:hAnsi="Batang"/>
                <w:b/>
                <w:sz w:val="28"/>
                <w:szCs w:val="28"/>
              </w:rPr>
              <w:t xml:space="preserve">FALs allow different pathways for completing tasks or solving problems meeting needs of diverse learners. </w:t>
            </w:r>
          </w:p>
          <w:p w:rsidR="00795511" w:rsidRDefault="00795511">
            <w:pPr>
              <w:rPr>
                <w:rFonts w:ascii="Batang" w:eastAsia="Batang" w:hAnsi="Batang"/>
                <w:b/>
                <w:sz w:val="28"/>
                <w:szCs w:val="28"/>
              </w:rPr>
            </w:pPr>
          </w:p>
          <w:p w:rsidR="00C76DDA" w:rsidRDefault="00795511">
            <w:pPr>
              <w:rPr>
                <w:rFonts w:ascii="Batang" w:eastAsia="Batang" w:hAnsi="Batang"/>
                <w:b/>
                <w:sz w:val="28"/>
                <w:szCs w:val="28"/>
              </w:rPr>
            </w:pPr>
            <w:r>
              <w:rPr>
                <w:rFonts w:ascii="Batang" w:eastAsia="Batang" w:hAnsi="Batang"/>
                <w:b/>
                <w:sz w:val="28"/>
                <w:szCs w:val="28"/>
              </w:rPr>
              <w:t>Extending beyond the FALs to the design of daily instruction around the 5 strategies for formative assessment can meet exemplary when we are intentional about differentiating for individual student need (feedback questions, grouping, etc.) and providing student choice.</w:t>
            </w:r>
          </w:p>
          <w:p w:rsidR="00795511" w:rsidRDefault="00795511"/>
          <w:p w:rsidR="00C76DDA" w:rsidRDefault="00C76DDA"/>
          <w:p w:rsidR="00C76DDA" w:rsidRDefault="00C76DDA"/>
          <w:p w:rsidR="00C76DDA" w:rsidRDefault="00C76DDA"/>
          <w:p w:rsidR="00C76DDA" w:rsidRDefault="00C76DDA"/>
          <w:p w:rsidR="00C76DDA" w:rsidRDefault="00C76DDA"/>
          <w:p w:rsidR="00C76DDA" w:rsidRDefault="00C76DDA" w:rsidP="00FA7313"/>
        </w:tc>
      </w:tr>
    </w:tbl>
    <w:p w:rsidR="00B23934" w:rsidRDefault="00B23934"/>
    <w:p w:rsidR="0028547A" w:rsidRDefault="0028547A"/>
    <w:p w:rsidR="0028547A" w:rsidRPr="00825B73" w:rsidRDefault="00BB5F38" w:rsidP="0028547A">
      <w:pPr>
        <w:rPr>
          <w:b/>
        </w:rPr>
      </w:pPr>
      <w:r>
        <w:rPr>
          <w:b/>
        </w:rPr>
        <w:t xml:space="preserve">Aligning </w:t>
      </w:r>
      <w:r w:rsidR="0028547A" w:rsidRPr="00825B73">
        <w:rPr>
          <w:b/>
        </w:rPr>
        <w:t>MDC Practices with TPGES</w:t>
      </w:r>
    </w:p>
    <w:p w:rsidR="0028547A" w:rsidRPr="00B23934" w:rsidRDefault="0028547A" w:rsidP="0028547A">
      <w:r>
        <w:t xml:space="preserve">Using the Framework for Teaching, identify MDC practices that exemplify the Accomplished &amp; Exemplary performance levels.  </w:t>
      </w:r>
      <w:r w:rsidRPr="00B23934">
        <w:rPr>
          <w:sz w:val="28"/>
          <w:szCs w:val="28"/>
        </w:rPr>
        <w:t xml:space="preserve"> </w:t>
      </w:r>
    </w:p>
    <w:tbl>
      <w:tblPr>
        <w:tblStyle w:val="TableGrid"/>
        <w:tblW w:w="14148" w:type="dxa"/>
        <w:tblLook w:val="04A0" w:firstRow="1" w:lastRow="0" w:firstColumn="1" w:lastColumn="0" w:noHBand="0" w:noVBand="1"/>
      </w:tblPr>
      <w:tblGrid>
        <w:gridCol w:w="6768"/>
        <w:gridCol w:w="7380"/>
      </w:tblGrid>
      <w:tr w:rsidR="0028547A" w:rsidRPr="00B23934" w:rsidTr="00115CCA">
        <w:tc>
          <w:tcPr>
            <w:tcW w:w="14148" w:type="dxa"/>
            <w:gridSpan w:val="2"/>
          </w:tcPr>
          <w:p w:rsidR="0028547A" w:rsidRDefault="0028547A" w:rsidP="00115CCA">
            <w:pPr>
              <w:rPr>
                <w:b/>
                <w:sz w:val="28"/>
                <w:szCs w:val="28"/>
              </w:rPr>
            </w:pPr>
            <w:r>
              <w:rPr>
                <w:b/>
                <w:sz w:val="28"/>
                <w:szCs w:val="28"/>
              </w:rPr>
              <w:t xml:space="preserve">Domain:  </w:t>
            </w:r>
          </w:p>
          <w:p w:rsidR="0028547A" w:rsidRPr="00B54037" w:rsidRDefault="0028547A" w:rsidP="00115CCA">
            <w:pPr>
              <w:rPr>
                <w:b/>
                <w:sz w:val="32"/>
                <w:szCs w:val="32"/>
              </w:rPr>
            </w:pPr>
          </w:p>
          <w:p w:rsidR="0028547A" w:rsidRPr="00B23934" w:rsidRDefault="0028547A" w:rsidP="0028547A">
            <w:pPr>
              <w:rPr>
                <w:b/>
                <w:sz w:val="28"/>
                <w:szCs w:val="28"/>
              </w:rPr>
            </w:pPr>
            <w:r w:rsidRPr="00B23934">
              <w:rPr>
                <w:b/>
                <w:sz w:val="28"/>
                <w:szCs w:val="28"/>
              </w:rPr>
              <w:t>Component</w:t>
            </w:r>
            <w:r>
              <w:rPr>
                <w:b/>
                <w:sz w:val="28"/>
                <w:szCs w:val="28"/>
              </w:rPr>
              <w:t xml:space="preserve">:  </w:t>
            </w:r>
          </w:p>
        </w:tc>
      </w:tr>
      <w:tr w:rsidR="0028547A" w:rsidRPr="00B23934" w:rsidTr="00115CCA">
        <w:tc>
          <w:tcPr>
            <w:tcW w:w="6768" w:type="dxa"/>
          </w:tcPr>
          <w:p w:rsidR="0028547A" w:rsidRDefault="0028547A" w:rsidP="00115CCA">
            <w:pPr>
              <w:jc w:val="center"/>
              <w:rPr>
                <w:b/>
                <w:sz w:val="28"/>
                <w:szCs w:val="28"/>
              </w:rPr>
            </w:pPr>
          </w:p>
          <w:p w:rsidR="0028547A" w:rsidRPr="00B23934" w:rsidRDefault="0028547A" w:rsidP="00115CCA">
            <w:pPr>
              <w:jc w:val="center"/>
              <w:rPr>
                <w:b/>
                <w:sz w:val="28"/>
                <w:szCs w:val="28"/>
              </w:rPr>
            </w:pPr>
            <w:r w:rsidRPr="00B23934">
              <w:rPr>
                <w:b/>
                <w:sz w:val="28"/>
                <w:szCs w:val="28"/>
              </w:rPr>
              <w:t>Accomplished</w:t>
            </w:r>
          </w:p>
        </w:tc>
        <w:tc>
          <w:tcPr>
            <w:tcW w:w="7380" w:type="dxa"/>
          </w:tcPr>
          <w:p w:rsidR="0028547A" w:rsidRDefault="0028547A" w:rsidP="00115CCA">
            <w:pPr>
              <w:jc w:val="center"/>
              <w:rPr>
                <w:b/>
                <w:sz w:val="28"/>
                <w:szCs w:val="28"/>
              </w:rPr>
            </w:pPr>
          </w:p>
          <w:p w:rsidR="0028547A" w:rsidRPr="00B23934" w:rsidRDefault="0028547A" w:rsidP="00115CCA">
            <w:pPr>
              <w:jc w:val="center"/>
              <w:rPr>
                <w:b/>
                <w:sz w:val="28"/>
                <w:szCs w:val="28"/>
              </w:rPr>
            </w:pPr>
            <w:r w:rsidRPr="00B23934">
              <w:rPr>
                <w:b/>
                <w:sz w:val="28"/>
                <w:szCs w:val="28"/>
              </w:rPr>
              <w:t>Exemplary</w:t>
            </w:r>
          </w:p>
        </w:tc>
      </w:tr>
      <w:tr w:rsidR="0028547A" w:rsidTr="00115CCA">
        <w:trPr>
          <w:trHeight w:val="6982"/>
        </w:trPr>
        <w:tc>
          <w:tcPr>
            <w:tcW w:w="6768" w:type="dxa"/>
          </w:tcPr>
          <w:p w:rsidR="0028547A" w:rsidRDefault="0028547A" w:rsidP="00115CCA"/>
        </w:tc>
        <w:tc>
          <w:tcPr>
            <w:tcW w:w="7380" w:type="dxa"/>
          </w:tcPr>
          <w:p w:rsidR="0028547A" w:rsidRDefault="0028547A" w:rsidP="00115CCA"/>
          <w:p w:rsidR="00414D94" w:rsidRDefault="00414D94" w:rsidP="00115CCA"/>
          <w:p w:rsidR="00414D94" w:rsidRDefault="00414D94" w:rsidP="00115CCA"/>
          <w:p w:rsidR="00414D94" w:rsidRDefault="00414D94" w:rsidP="00115CCA"/>
          <w:p w:rsidR="00414D94" w:rsidRDefault="00414D94" w:rsidP="00115CCA"/>
          <w:p w:rsidR="00414D94" w:rsidRDefault="00414D94" w:rsidP="00115CCA"/>
          <w:p w:rsidR="00414D94" w:rsidRDefault="00414D94" w:rsidP="00115CCA"/>
          <w:p w:rsidR="00414D94" w:rsidRDefault="00414D94" w:rsidP="00115CCA"/>
          <w:p w:rsidR="00414D94" w:rsidRDefault="00414D94" w:rsidP="00115CCA"/>
          <w:p w:rsidR="00414D94" w:rsidRDefault="00414D94" w:rsidP="00115CCA"/>
          <w:p w:rsidR="00414D94" w:rsidRDefault="00414D94" w:rsidP="00115CCA"/>
          <w:p w:rsidR="00414D94" w:rsidRDefault="00414D94" w:rsidP="00115CCA"/>
          <w:p w:rsidR="00414D94" w:rsidRDefault="00414D94" w:rsidP="00115CCA"/>
          <w:p w:rsidR="00414D94" w:rsidRDefault="00414D94" w:rsidP="00115CCA"/>
          <w:p w:rsidR="00414D94" w:rsidRDefault="00414D94" w:rsidP="00115CCA"/>
          <w:p w:rsidR="00414D94" w:rsidRDefault="00414D94" w:rsidP="00115CCA"/>
          <w:p w:rsidR="00414D94" w:rsidRDefault="00414D94" w:rsidP="00115CCA"/>
          <w:p w:rsidR="00414D94" w:rsidRDefault="00414D94" w:rsidP="00115CCA"/>
          <w:p w:rsidR="00414D94" w:rsidRDefault="00414D94" w:rsidP="00115CCA"/>
          <w:p w:rsidR="00414D94" w:rsidRDefault="00414D94" w:rsidP="00115CCA"/>
          <w:p w:rsidR="00414D94" w:rsidRDefault="00414D94" w:rsidP="00115CCA"/>
          <w:p w:rsidR="00414D94" w:rsidRDefault="00414D94" w:rsidP="00115CCA"/>
          <w:p w:rsidR="00414D94" w:rsidRDefault="00414D94" w:rsidP="00115CCA"/>
          <w:p w:rsidR="00414D94" w:rsidRDefault="00414D94" w:rsidP="00115CCA"/>
          <w:p w:rsidR="0028547A" w:rsidRDefault="0028547A" w:rsidP="00115CCA"/>
          <w:p w:rsidR="0028547A" w:rsidRDefault="0028547A" w:rsidP="00115CCA"/>
          <w:p w:rsidR="0028547A" w:rsidRDefault="0028547A" w:rsidP="00115CCA"/>
          <w:p w:rsidR="0028547A" w:rsidRDefault="0028547A" w:rsidP="00115CCA"/>
          <w:p w:rsidR="0028547A" w:rsidRDefault="0028547A" w:rsidP="00115CCA"/>
        </w:tc>
      </w:tr>
    </w:tbl>
    <w:p w:rsidR="0028547A" w:rsidRDefault="0028547A"/>
    <w:sectPr w:rsidR="0028547A" w:rsidSect="00B23934">
      <w:pgSz w:w="15840" w:h="12240" w:orient="landscape"/>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934"/>
    <w:rsid w:val="00070A7B"/>
    <w:rsid w:val="000B2D1A"/>
    <w:rsid w:val="00191142"/>
    <w:rsid w:val="0028547A"/>
    <w:rsid w:val="002E1A55"/>
    <w:rsid w:val="00414D94"/>
    <w:rsid w:val="00561DF2"/>
    <w:rsid w:val="00750EFE"/>
    <w:rsid w:val="00795511"/>
    <w:rsid w:val="00825B73"/>
    <w:rsid w:val="008514C7"/>
    <w:rsid w:val="00856498"/>
    <w:rsid w:val="0090780D"/>
    <w:rsid w:val="009A244E"/>
    <w:rsid w:val="00B05371"/>
    <w:rsid w:val="00B23934"/>
    <w:rsid w:val="00B54037"/>
    <w:rsid w:val="00BB5F38"/>
    <w:rsid w:val="00C76DDA"/>
    <w:rsid w:val="00E603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239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239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275</Words>
  <Characters>1569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Kentucky Department of Education</Company>
  <LinksUpToDate>false</LinksUpToDate>
  <CharactersWithSpaces>1841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Franks, Carol - Office of Next Generation Learners</dc:creator>
  <cp:lastModifiedBy>Renee' Yates</cp:lastModifiedBy>
  <cp:revision>2</cp:revision>
  <cp:lastPrinted>2013-08-14T22:35:00Z</cp:lastPrinted>
  <dcterms:created xsi:type="dcterms:W3CDTF">2013-12-10T13:27:00Z</dcterms:created>
  <dcterms:modified xsi:type="dcterms:W3CDTF">2013-12-10T13:27:00Z</dcterms:modified>
</cp:coreProperties>
</file>